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29" w:rsidRDefault="00B30C45" w:rsidP="00D05B29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600A77">
        <w:rPr>
          <w:rFonts w:ascii="Verdana" w:hAnsi="Verdana"/>
          <w:b/>
          <w:bCs/>
          <w:sz w:val="20"/>
          <w:szCs w:val="20"/>
        </w:rPr>
        <w:t xml:space="preserve">WYMAGANIA </w:t>
      </w:r>
      <w:r w:rsidR="00384A63" w:rsidRPr="00600A77">
        <w:rPr>
          <w:rFonts w:ascii="Verdana" w:hAnsi="Verdana"/>
          <w:b/>
          <w:bCs/>
          <w:sz w:val="20"/>
          <w:szCs w:val="20"/>
        </w:rPr>
        <w:t>DOTYCZĄCE BEZPIECZEŃSTWA</w:t>
      </w:r>
    </w:p>
    <w:p w:rsidR="00F258F9" w:rsidRDefault="00384A63" w:rsidP="00D05B29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600A77">
        <w:rPr>
          <w:rFonts w:ascii="Verdana" w:hAnsi="Verdana"/>
          <w:b/>
          <w:bCs/>
          <w:sz w:val="20"/>
          <w:szCs w:val="20"/>
        </w:rPr>
        <w:t>NOWYCH PROJEKTÓW/SYSTEMÓW PODCZAS</w:t>
      </w:r>
      <w:r w:rsidR="00F258F9">
        <w:rPr>
          <w:rFonts w:ascii="Verdana" w:hAnsi="Verdana"/>
          <w:b/>
          <w:bCs/>
          <w:sz w:val="20"/>
          <w:szCs w:val="20"/>
        </w:rPr>
        <w:t xml:space="preserve"> PRZYGOTOWANIA OPZ</w:t>
      </w:r>
    </w:p>
    <w:p w:rsidR="0037548D" w:rsidRPr="00600A77" w:rsidRDefault="0037548D">
      <w:pPr>
        <w:rPr>
          <w:rFonts w:ascii="Verdana" w:hAnsi="Verdana"/>
          <w:b/>
          <w:bCs/>
          <w:sz w:val="20"/>
          <w:szCs w:val="20"/>
        </w:rPr>
      </w:pPr>
    </w:p>
    <w:p w:rsidR="001051AD" w:rsidRPr="00600A77" w:rsidRDefault="001051AD">
      <w:pPr>
        <w:rPr>
          <w:rFonts w:ascii="Verdana" w:hAnsi="Verdana"/>
          <w:b/>
          <w:bCs/>
          <w:sz w:val="20"/>
          <w:szCs w:val="20"/>
        </w:rPr>
      </w:pPr>
      <w:r w:rsidRPr="00600A77">
        <w:rPr>
          <w:rFonts w:ascii="Verdana" w:hAnsi="Verdana"/>
          <w:b/>
          <w:bCs/>
          <w:sz w:val="20"/>
          <w:szCs w:val="20"/>
        </w:rPr>
        <w:t>TABELA 1. PRIORYTET</w:t>
      </w:r>
      <w:r w:rsidR="005B2E30" w:rsidRPr="00600A77">
        <w:rPr>
          <w:rFonts w:ascii="Verdana" w:hAnsi="Verdana"/>
          <w:b/>
          <w:bCs/>
          <w:sz w:val="20"/>
          <w:szCs w:val="20"/>
        </w:rPr>
        <w:t xml:space="preserve"> / WYMAGALNOŚĆ</w:t>
      </w: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1051AD" w:rsidRPr="00600A77" w:rsidTr="001051AD">
        <w:tc>
          <w:tcPr>
            <w:tcW w:w="4531" w:type="dxa"/>
          </w:tcPr>
          <w:p w:rsidR="001051AD" w:rsidRPr="00600A77" w:rsidRDefault="001051AD" w:rsidP="00150AC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Bezwzględnie wymagane</w:t>
            </w:r>
          </w:p>
          <w:p w:rsidR="00150ACD" w:rsidRPr="00600A77" w:rsidRDefault="00150ACD" w:rsidP="00150AC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1" w:type="dxa"/>
          </w:tcPr>
          <w:p w:rsidR="001051AD" w:rsidRPr="00600A77" w:rsidRDefault="00EC1081" w:rsidP="00150ACD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1051AD" w:rsidRPr="00600A77" w:rsidTr="001051AD">
        <w:tc>
          <w:tcPr>
            <w:tcW w:w="4531" w:type="dxa"/>
          </w:tcPr>
          <w:p w:rsidR="001051AD" w:rsidRPr="00600A77" w:rsidRDefault="001051AD" w:rsidP="00150AC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Dodatkowo punktowane/ wymagane</w:t>
            </w:r>
            <w:r w:rsidR="00F640EB" w:rsidRPr="00600A77">
              <w:rPr>
                <w:rFonts w:ascii="Verdana" w:hAnsi="Verdana"/>
                <w:sz w:val="20"/>
                <w:szCs w:val="20"/>
              </w:rPr>
              <w:t xml:space="preserve"> w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 danym projekcie</w:t>
            </w:r>
          </w:p>
        </w:tc>
        <w:tc>
          <w:tcPr>
            <w:tcW w:w="4531" w:type="dxa"/>
          </w:tcPr>
          <w:p w:rsidR="001051AD" w:rsidRPr="00600A77" w:rsidRDefault="00EC1081" w:rsidP="00150ACD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1051AD" w:rsidRPr="00600A77" w:rsidTr="001051AD">
        <w:tc>
          <w:tcPr>
            <w:tcW w:w="4531" w:type="dxa"/>
          </w:tcPr>
          <w:p w:rsidR="001051AD" w:rsidRPr="00600A77" w:rsidRDefault="001051AD" w:rsidP="00150AC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Opcjonalne</w:t>
            </w:r>
          </w:p>
          <w:p w:rsidR="00150ACD" w:rsidRPr="00600A77" w:rsidRDefault="00150ACD" w:rsidP="00150ACD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1" w:type="dxa"/>
          </w:tcPr>
          <w:p w:rsidR="001051AD" w:rsidRPr="00600A77" w:rsidRDefault="00EC1081" w:rsidP="00150ACD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</w:tbl>
    <w:p w:rsidR="00131F77" w:rsidRPr="00600A77" w:rsidRDefault="00131F77">
      <w:pPr>
        <w:rPr>
          <w:rFonts w:ascii="Verdana" w:hAnsi="Verdana"/>
          <w:sz w:val="20"/>
          <w:szCs w:val="20"/>
        </w:rPr>
      </w:pPr>
    </w:p>
    <w:p w:rsidR="00825B87" w:rsidRPr="00600A77" w:rsidRDefault="00825B87">
      <w:pPr>
        <w:rPr>
          <w:rFonts w:ascii="Verdana" w:hAnsi="Verdana"/>
          <w:sz w:val="20"/>
          <w:szCs w:val="20"/>
        </w:rPr>
      </w:pPr>
    </w:p>
    <w:p w:rsidR="00825B87" w:rsidRPr="00600A77" w:rsidRDefault="00825B87">
      <w:pPr>
        <w:rPr>
          <w:rFonts w:ascii="Verdana" w:hAnsi="Verdana"/>
          <w:sz w:val="20"/>
          <w:szCs w:val="20"/>
        </w:rPr>
      </w:pPr>
    </w:p>
    <w:p w:rsidR="00825B87" w:rsidRPr="00600A77" w:rsidRDefault="00825B87">
      <w:pPr>
        <w:rPr>
          <w:rFonts w:ascii="Verdana" w:hAnsi="Verdana"/>
          <w:sz w:val="20"/>
          <w:szCs w:val="20"/>
        </w:rPr>
      </w:pPr>
    </w:p>
    <w:p w:rsidR="00B27E7A" w:rsidRPr="008A6695" w:rsidRDefault="00AC66D3" w:rsidP="008A6695">
      <w:pPr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MODEL </w:t>
      </w:r>
      <w:r w:rsidR="008A6695" w:rsidRPr="008A6695">
        <w:rPr>
          <w:rFonts w:ascii="Verdana" w:hAnsi="Verdana"/>
          <w:b/>
          <w:bCs/>
          <w:sz w:val="32"/>
          <w:szCs w:val="32"/>
        </w:rPr>
        <w:t>SAAS</w:t>
      </w:r>
    </w:p>
    <w:p w:rsidR="00127251" w:rsidRPr="00600A77" w:rsidRDefault="00127251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8529" w:type="dxa"/>
        <w:tblLook w:val="04A0"/>
      </w:tblPr>
      <w:tblGrid>
        <w:gridCol w:w="2285"/>
        <w:gridCol w:w="1686"/>
        <w:gridCol w:w="3046"/>
        <w:gridCol w:w="1512"/>
      </w:tblGrid>
      <w:tr w:rsidR="00094B9D" w:rsidRPr="00600A77" w:rsidTr="006A49CE">
        <w:tc>
          <w:tcPr>
            <w:tcW w:w="2285" w:type="dxa"/>
            <w:vMerge w:val="restart"/>
          </w:tcPr>
          <w:p w:rsidR="00094B9D" w:rsidRPr="00600A77" w:rsidRDefault="00094B9D" w:rsidP="0023364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44" w:type="dxa"/>
            <w:gridSpan w:val="3"/>
          </w:tcPr>
          <w:p w:rsidR="00094B9D" w:rsidRPr="00600A77" w:rsidRDefault="00094B9D" w:rsidP="00233647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DLA SYSTEMU DOSTĘPNEGO W MODELU SAAS</w:t>
            </w:r>
            <w:r w:rsidRPr="00600A77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</w:p>
          <w:p w:rsidR="00094B9D" w:rsidRPr="00600A77" w:rsidRDefault="00094B9D" w:rsidP="00233647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SYGNATURA WYMAGANIA</w:t>
            </w:r>
          </w:p>
        </w:tc>
        <w:tc>
          <w:tcPr>
            <w:tcW w:w="3046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OPIS WYMAGANIA</w:t>
            </w: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PRIORYTET</w:t>
            </w:r>
          </w:p>
        </w:tc>
      </w:tr>
      <w:tr w:rsidR="00094B9D" w:rsidRPr="00600A77" w:rsidTr="006A49CE">
        <w:tc>
          <w:tcPr>
            <w:tcW w:w="2285" w:type="dxa"/>
            <w:vMerge w:val="restart"/>
          </w:tcPr>
          <w:p w:rsidR="00094B9D" w:rsidRPr="00600A77" w:rsidRDefault="00094B9D" w:rsidP="00094B9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haseł i logowania</w:t>
            </w:r>
          </w:p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musi przechowywać hasła kont i zdefiniowanych połączeń w postaci zaszyfrowanej.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musi wymuszać zmianę haseł w sposób niezbędny dla zapewnienia właściwej ochrony i właściwego poziomu bezpieczeństwa danych i umożliwiać definiowania poziomu złożoności hasła (minimalna i maksymalna długość hasła, zawieranie małych i/lub dużych liter, znaków specjalnych i cyfr) oraz niepowtarzalności  w zdefiniowanym okresie czasu. Parametry te są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konfigurowalne przez administratora Systemu.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094B9D" w:rsidRPr="00600A77" w:rsidTr="006A49CE">
        <w:trPr>
          <w:trHeight w:val="1646"/>
        </w:trPr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System musi umożliwiać administratorowi zmianę hasła użytkownika poprzez wprowadzenie nowego hasła dla użytkownika. System wymusza zmianę hasła przez użytkownika przy pierwszej próbie logowania po zmianie hasła przez administratora.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094B9D" w:rsidRPr="00600A77" w:rsidTr="006A49CE">
        <w:trPr>
          <w:trHeight w:val="28"/>
        </w:trPr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BC5E49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Dostęp do Systemu musi być zawsze autoryzowany, co najmniej loginem i hasłem. Login (identyfikator użytkownika) musi być w systemie unikalny  i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może być przydzielony tylko jednemu użytkownikowi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Po trzech nieudanych próbach logowania użytkownika w Systemie, System musi blokować konto użytkownika na okres czasu zdefiniowany przez Administratora systemu.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Konto będzie mogło zostać odblokowane przez administratora lub </w:t>
            </w:r>
            <w:r w:rsidRPr="00600A77">
              <w:rPr>
                <w:rFonts w:ascii="Verdana" w:hAnsi="Verdana" w:cs="Arial"/>
                <w:sz w:val="20"/>
                <w:szCs w:val="20"/>
              </w:rPr>
              <w:t>za pomocą rozwiązania automatycznego odblokowania po upływie czasu zdefiniowanego przez Administratora systemu.</w:t>
            </w:r>
          </w:p>
          <w:p w:rsidR="00094B9D" w:rsidRPr="00600A77" w:rsidRDefault="00094B9D" w:rsidP="00233647">
            <w:pPr>
              <w:spacing w:line="276" w:lineRule="auto"/>
              <w:ind w:firstLine="708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BC5E49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powinien posiadać wsparcie dodatkowych metod uwierzytelniania typu MFA/2FA. Włączenie mechanizmu MFA powinno być opcjonalnie włączane przez Administratora systemu.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D40D67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musi pozwalać na jednoczesną pracę w Systemie wielu użytkownikom (z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ograniczeniem 1 sesja-1 użytkownik). Przy próbie kolejnego zalogowania już zautoryzowanego użytkownika, system musi wyświetlić ostrzeżenie o trwającej już sesji. Identyfikator sesji powinien być unikalny.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D40D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Zasób informacyjny dostępny co najmniej po logowaniu domenowym.</w:t>
            </w:r>
          </w:p>
          <w:p w:rsidR="00094B9D" w:rsidRPr="00600A77" w:rsidRDefault="00094B9D" w:rsidP="00233647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094B9D" w:rsidRPr="00600A77" w:rsidTr="006A49CE">
        <w:tc>
          <w:tcPr>
            <w:tcW w:w="2285" w:type="dxa"/>
            <w:vMerge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94B9D" w:rsidRPr="00600A77" w:rsidRDefault="00094B9D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94B9D" w:rsidRPr="00600A77" w:rsidRDefault="00094B9D" w:rsidP="009929F8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Każdy użytkownik Systemu musi mieć przypisane indywidualne konto w Systemie i musi zostać uwierzytelniony, co najmniej podczas uruchamiania sesji. W przypadku bezczynności powyżej 30 minut, system musi automatycznie wylogować użytkownika</w:t>
            </w:r>
          </w:p>
        </w:tc>
        <w:tc>
          <w:tcPr>
            <w:tcW w:w="1512" w:type="dxa"/>
          </w:tcPr>
          <w:p w:rsidR="00094B9D" w:rsidRPr="00600A77" w:rsidRDefault="00094B9D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06C6C" w:rsidRPr="00600A77" w:rsidTr="006A49CE">
        <w:tc>
          <w:tcPr>
            <w:tcW w:w="2285" w:type="dxa"/>
            <w:vMerge w:val="restart"/>
          </w:tcPr>
          <w:p w:rsidR="00806C6C" w:rsidRPr="00600A77" w:rsidRDefault="00806C6C" w:rsidP="00094B9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kwestii administracyjnych</w:t>
            </w:r>
          </w:p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094B9D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Wszystkie działania związane z aktywnością użytkowników muszą być rejestrowane w Systemie i dostępne dla roli Administrator. Szczegółowy zakres zapisywanych logów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zostanie określony podczas Analizy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przedwdrożeniowej</w:t>
            </w:r>
          </w:p>
        </w:tc>
        <w:tc>
          <w:tcPr>
            <w:tcW w:w="1512" w:type="dxa"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1F00B6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Dostęp użytkowników do danych oraz poszczególnych funkcji Systemu musi być regulowany przez Administratora uprawnieniami z wykorzystaniem ról,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 zarządzanie nimi umożliwione Administratorowi systemu.</w:t>
            </w:r>
          </w:p>
          <w:p w:rsidR="00806C6C" w:rsidRPr="00600A77" w:rsidRDefault="00806C6C" w:rsidP="00094B9D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1F00B6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System musi umożliwiać Administratorom po stronie  Zamawiającego nadawanie użytkownikom 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lastRenderedPageBreak/>
              <w:t>ról/uprawnień.</w:t>
            </w:r>
          </w:p>
          <w:p w:rsidR="00806C6C" w:rsidRPr="00600A77" w:rsidRDefault="00806C6C" w:rsidP="001F00B6">
            <w:pPr>
              <w:spacing w:line="276" w:lineRule="auto"/>
              <w:ind w:firstLine="708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1F00B6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Funkcje typowo administracyjne Systemu muszą być dostępne jedynie dla roli Administrator (np. zarządzanie użytkownikami  i operacje typu dodawanie, blokowanie, itp.)</w:t>
            </w:r>
          </w:p>
          <w:p w:rsidR="00806C6C" w:rsidRPr="00600A77" w:rsidRDefault="00806C6C" w:rsidP="00233647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System musi umożliwiać administratorowi dezaktywowanie użytkowników. Użytkownicy dezaktywowani nie mogą zalogować się do Systemu i wykonywać w nim żadnych czynności. </w:t>
            </w:r>
          </w:p>
          <w:p w:rsidR="00806C6C" w:rsidRPr="00600A77" w:rsidRDefault="00806C6C" w:rsidP="00233647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23364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Administrator systemu po stronie Zamawiającego będzie miał zapewniony dostęp do nadawania uprawnień w systemie, wymuszania zmiany hasła, dostęp do logów systemowych.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przeprowadzi  szkolenia z zakresu bezpiecznej eksploatacji systemu - oddzielnie dla administratorów i użytkowników.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przekaże Administratorom dokumentację systemu oraz dokumentację przepływu danych.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CA3893">
            <w:pPr>
              <w:rPr>
                <w:rFonts w:ascii="Verdana" w:hAnsi="Verdana" w:cs="Calibri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</w:rPr>
              <w:t>System przechowuje historię dotyczącą blokowania i odblokowywania kont użytkowników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743AFF" w:rsidRPr="00600A77" w:rsidTr="006A49CE">
        <w:tc>
          <w:tcPr>
            <w:tcW w:w="2285" w:type="dxa"/>
          </w:tcPr>
          <w:p w:rsidR="003F09EF" w:rsidRPr="00600A77" w:rsidRDefault="003F09EF" w:rsidP="003F09EF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dostępności cyfrowej</w:t>
            </w:r>
          </w:p>
          <w:p w:rsidR="003F09EF" w:rsidRPr="00600A77" w:rsidRDefault="003F09EF" w:rsidP="003F09EF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3F09EF" w:rsidRPr="00600A77" w:rsidRDefault="003F09EF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805A7" w:rsidRPr="00600A77" w:rsidRDefault="000805A7" w:rsidP="000805A7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Aplikacja spełnia wymagania Ustawy z dnia 4 kwietnia 2019 r. o dostępności cyfrowej stron internetowych i aplikacji mobilnych podmiotów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publicznych z uwzględnieniem wymagań określonych w pkt 9, 10 i 11 normy EN 301 549 V2.1.2, w szczególności w zakresie: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funkcjonalności,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kompatybilności,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nawigacji,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postrzegalności,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zrozumiałości,</w:t>
            </w:r>
          </w:p>
          <w:p w:rsidR="000805A7" w:rsidRPr="00600A77" w:rsidRDefault="000805A7" w:rsidP="000805A7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deklaracji dostępności,</w:t>
            </w:r>
          </w:p>
          <w:p w:rsidR="000805A7" w:rsidRPr="00600A77" w:rsidRDefault="000805A7" w:rsidP="000805A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obsługi żądania zapewnienia dostępności cyfrowej.</w:t>
            </w:r>
          </w:p>
          <w:p w:rsidR="003F09EF" w:rsidRPr="00600A77" w:rsidRDefault="003F09EF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3F09EF" w:rsidRPr="00600A77" w:rsidRDefault="000805A7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806C6C" w:rsidRPr="00600A77" w:rsidTr="006A49CE">
        <w:tc>
          <w:tcPr>
            <w:tcW w:w="2285" w:type="dxa"/>
            <w:vMerge w:val="restart"/>
          </w:tcPr>
          <w:p w:rsidR="00806C6C" w:rsidRPr="00600A77" w:rsidRDefault="00806C6C" w:rsidP="000730AF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TECHNICZNE dot. zasobów</w:t>
            </w:r>
          </w:p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7268EE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musi posiadać wbudowaną funkcjonalność umożliwiającą wybiórczą lub kompletną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anonimizację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danych, które nie powinny być już przetwarzane w Systemie. Dotyczy to zwłaszcza pól dedykowanych, przeznaczonych do wpisywania danych osobowych.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7268EE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Wykonawca przeprowadzi migrację danych, która umożliwi korzystanie z zamawianego Systemu w pełnym zakresie jego funkcjonalności z uwzględnieniem dotychczas zgromadzonych danych i dotychczas funkcjonującego rozwiązania u Zamawiającego. Szczegółowy zakres migrowanych danych oraz sposób ich przekazania zostaną ustalone w trakcie Analizy przedwdrożeniowej. 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7268EE">
            <w:pPr>
              <w:tabs>
                <w:tab w:val="left" w:pos="913"/>
              </w:tabs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Wykonawca powinien dostarczyć narzędzie do samodzielnej migracji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danych do/z Systemu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9540D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System powinien umożliwiać wymianę danych z innymi systemami, w szczególności udostępniać API wraz z dokumentacją dla programistów.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9540D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 stosowanie mechanizmu regularnego tworzenia kopi zapasowych danych oraz procedury ich odzyskiwania w przypadku ich utraty.</w:t>
            </w:r>
          </w:p>
          <w:p w:rsidR="00806C6C" w:rsidRPr="00600A77" w:rsidRDefault="00806C6C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7E0D53" w:rsidRDefault="00806C6C" w:rsidP="007E0D53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D53">
              <w:rPr>
                <w:rFonts w:ascii="Verdana" w:hAnsi="Verdana"/>
                <w:color w:val="000000"/>
                <w:sz w:val="20"/>
                <w:szCs w:val="20"/>
              </w:rPr>
              <w:t>Wykonawca musi zapewnić środki uniemożliwiające nieautoryzowany dostęp na poziomie baz danych, usług sieciowych i aplikacji. Zamawiający przekaże pulę adresów, przydzielanych komputerom użytkowników, którzy będą korzystać z Systemu.</w:t>
            </w:r>
          </w:p>
          <w:p w:rsidR="00806C6C" w:rsidRPr="00600A77" w:rsidRDefault="00806C6C" w:rsidP="007E0D53">
            <w:pPr>
              <w:spacing w:line="276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B8279A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 xml:space="preserve">Interfejs strony internetowej (dla wszystkich modułów aplikacji) musi być obsługiwany, w co najmniej następujących przeglądarkach: Google Chrome, Safari, </w:t>
            </w:r>
            <w:proofErr w:type="spellStart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Mozilla</w:t>
            </w:r>
            <w:proofErr w:type="spellEnd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Firefox</w:t>
            </w:r>
            <w:proofErr w:type="spellEnd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, Opera, Microsoft Edge w wersjach wspieranych przez producenta</w:t>
            </w:r>
          </w:p>
          <w:p w:rsidR="00806C6C" w:rsidRPr="00B8279A" w:rsidRDefault="00806C6C" w:rsidP="00B8279A">
            <w:pP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806C6C" w:rsidRPr="00600A77" w:rsidRDefault="00806C6C" w:rsidP="007E0D53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na potrzeby wdrożenia musi zainstalować na własnej Infrastrukturze, sparametryzować, przetestować i udostępnić Zamawiającemu System (wydzielony serwer fizyczny/wirtualny wyłącznie na potrzeby dostarczanego Systemu).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Decyzja o rozbudowie, poprawie Systemu (tzw. „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upgrade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”) musi zostać zatwierdzona przez administratora systemu po stronie Zamawiającego (każdej zmianie musi zostać przypisana nowa wersja, a dziennik/historia zmian wersji aplikacji musi być na bieżąco aktualizowana i dostępna dla administratorów w dowolnym momencie).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Zamawiający posiada dostęp do szczegółowych i aktualnych instrukcji konfiguracji usług chmury obliczeniowej oraz metod weryfikacji poprawności ich konfiguracji i działania, w szczególności w zakresie szyfrowania przetwarzanych informacji. Zakres i szczegółowość dokumentacji zostanie uzgodniona w trakcie Analizy Systemowej. 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1B4F52" w:rsidRDefault="00806C6C" w:rsidP="001B4F52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B4F52">
              <w:rPr>
                <w:rFonts w:ascii="Verdana" w:hAnsi="Verdana"/>
                <w:color w:val="000000"/>
                <w:sz w:val="20"/>
                <w:szCs w:val="20"/>
              </w:rPr>
              <w:t>Przetwarzanie danych będzie odbywało się w poprawnej konfiguracji usług chmury obliczeniowej, a jeżeli usługi chmurowe będą świadczone przez podmiot trzeci - zgodnie z wytycznymi dostawcy usług chmury obliczeniowej, w tym pod kątem stosowania szyfrowania przetwarzanych informacji</w:t>
            </w:r>
          </w:p>
          <w:p w:rsidR="00806C6C" w:rsidRPr="00600A77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B8279A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Na etapie Analizy przedwdrożeniowej zostaną wypracowane wymogi dostępności systemu – SLA. 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21EBD" w:rsidRDefault="00806C6C" w:rsidP="00B8279A">
            <w:pPr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Po zakończeniu umowy wymagane jest przekazanie kopii danych w powszechnie uznanym i wykorzystywanym formacie maszynowym, umożliwiającym Zamawiającemu przeniesienie danych do innego Systemu. Przekazanie kopii danych </w:t>
            </w: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lastRenderedPageBreak/>
              <w:t>dotyczy również logów systemowych zawierających pełne informacje o dostępie do danych w czasie trwania umowy oraz „archiwum wewnętrznego” zawierającego dane, które już nie są przetwarzane.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806C6C" w:rsidRPr="00600A77" w:rsidTr="006A49CE">
        <w:tc>
          <w:tcPr>
            <w:tcW w:w="2285" w:type="dxa"/>
            <w:vMerge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06C6C" w:rsidRPr="00600A77" w:rsidRDefault="00806C6C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06C6C" w:rsidRPr="00600A77" w:rsidRDefault="00806C6C" w:rsidP="009620C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jest objęty procesem wykonywania backupów danych z wykorzystaniem kopii pełnych, różnicowych lub przyrostowych w oparciu o harmonogram lub wykonywanych na żądnie Zamawiającego. Backupy powinny obejmować także informacje o logach. Backupy są wydawane na każde żądanie Zamawiającego.</w:t>
            </w:r>
          </w:p>
        </w:tc>
        <w:tc>
          <w:tcPr>
            <w:tcW w:w="1512" w:type="dxa"/>
          </w:tcPr>
          <w:p w:rsidR="00806C6C" w:rsidRPr="00600A77" w:rsidRDefault="00806C6C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E52520" w:rsidRPr="00600A77" w:rsidTr="006A49CE">
        <w:tc>
          <w:tcPr>
            <w:tcW w:w="2285" w:type="dxa"/>
            <w:vMerge w:val="restart"/>
          </w:tcPr>
          <w:p w:rsidR="00E52520" w:rsidRPr="00600A77" w:rsidRDefault="00E52520" w:rsidP="0014587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raportowania</w:t>
            </w:r>
          </w:p>
          <w:p w:rsidR="00E52520" w:rsidRPr="00600A77" w:rsidRDefault="00E52520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2520" w:rsidRPr="00600A77" w:rsidRDefault="00E52520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E52520" w:rsidRPr="00600A77" w:rsidRDefault="00E52520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Wszystkie raporty (zestawienia) generowane w Systemie muszą mieć możliwość eksportu na ekran oraz do plików. Dozwolone formaty plików to: PDF 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xls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csv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xml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json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doc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docx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. Szablony niezbędne dla pracy użytkownika zostaną doprecyzowane w Analizie przedwdrożeniowej.</w:t>
            </w:r>
          </w:p>
          <w:p w:rsidR="00E52520" w:rsidRPr="00600A77" w:rsidRDefault="00E52520" w:rsidP="003F09E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E52520" w:rsidRPr="00600A77" w:rsidRDefault="00E52520" w:rsidP="003F09E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E52520" w:rsidRPr="00600A77" w:rsidTr="006A49CE">
        <w:tc>
          <w:tcPr>
            <w:tcW w:w="2285" w:type="dxa"/>
            <w:vMerge/>
          </w:tcPr>
          <w:p w:rsidR="00E52520" w:rsidRPr="00600A77" w:rsidRDefault="00E52520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2520" w:rsidRPr="00600A77" w:rsidRDefault="00E52520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E52520" w:rsidRPr="00600A77" w:rsidRDefault="00E52520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Polecenia dotyczące typowych funkcji Systemu (np. drukowanie, generowanie raportów, monitorowanie, alerty) muszą być realizowane w sposób ujednolicony dla całego systemu, wszystkich modułów i użytkowników.</w:t>
            </w:r>
          </w:p>
          <w:p w:rsidR="00E52520" w:rsidRPr="00600A77" w:rsidRDefault="00E52520" w:rsidP="003A1C5A">
            <w:pPr>
              <w:tabs>
                <w:tab w:val="left" w:pos="913"/>
              </w:tabs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E52520" w:rsidRPr="00600A77" w:rsidRDefault="00E52520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E52520" w:rsidRPr="00600A77" w:rsidTr="006A49CE">
        <w:tc>
          <w:tcPr>
            <w:tcW w:w="2285" w:type="dxa"/>
            <w:vMerge/>
          </w:tcPr>
          <w:p w:rsidR="00E52520" w:rsidRPr="00600A77" w:rsidRDefault="00E52520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2520" w:rsidRPr="00600A77" w:rsidRDefault="00E52520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E52520" w:rsidRPr="00600A77" w:rsidRDefault="00E52520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musi wykorzystywać do stałego i okresowego eksportu bądź importu danych standard XML lub inne formaty wymiany danych wskazane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w Rozporządzeniu KRI </w:t>
            </w:r>
          </w:p>
          <w:p w:rsidR="00E52520" w:rsidRPr="00600A77" w:rsidRDefault="00E52520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E52520" w:rsidRPr="00600A77" w:rsidRDefault="00E52520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6A49CE" w:rsidRPr="00600A77" w:rsidTr="006A49CE">
        <w:tc>
          <w:tcPr>
            <w:tcW w:w="2285" w:type="dxa"/>
            <w:vMerge w:val="restart"/>
          </w:tcPr>
          <w:p w:rsidR="006A49CE" w:rsidRPr="00600A77" w:rsidRDefault="006A49CE" w:rsidP="00621EB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TECHNICZNE dot. licencjonowania</w:t>
            </w:r>
          </w:p>
          <w:p w:rsidR="006A49CE" w:rsidRPr="00600A77" w:rsidRDefault="006A49CE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6A49CE" w:rsidRPr="00600A77" w:rsidRDefault="006A49CE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6A49CE" w:rsidRPr="00600A77" w:rsidRDefault="006A49CE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 i zobowiązuje się, że posiada licencje na wszystkie zainstalowane kopie systemu operacyjnego oraz oprogramowania bazodanowego niezbędne do działania Systemu, a licencje te są zgodne z obowiązującą polityką licencyjną dostawcy oprogramowania i  przepisami prawa.</w:t>
            </w:r>
          </w:p>
        </w:tc>
        <w:tc>
          <w:tcPr>
            <w:tcW w:w="1512" w:type="dxa"/>
          </w:tcPr>
          <w:p w:rsidR="006A49CE" w:rsidRPr="00600A77" w:rsidRDefault="006A49CE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A49CE" w:rsidRPr="00600A77" w:rsidTr="006A49CE">
        <w:tc>
          <w:tcPr>
            <w:tcW w:w="2285" w:type="dxa"/>
            <w:vMerge/>
          </w:tcPr>
          <w:p w:rsidR="006A49CE" w:rsidRPr="00600A77" w:rsidRDefault="006A49CE" w:rsidP="0060600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6A49CE" w:rsidRPr="00600A77" w:rsidRDefault="006A49CE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6A49CE" w:rsidRPr="00600A77" w:rsidRDefault="006A49CE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zapewnia, że korzystanie przez Zamawiającego z dostarczonego systemu nie będzie stanowić naruszenia majątkowych praw autorskich osób trzecich.</w:t>
            </w:r>
          </w:p>
        </w:tc>
        <w:tc>
          <w:tcPr>
            <w:tcW w:w="1512" w:type="dxa"/>
          </w:tcPr>
          <w:p w:rsidR="006A49CE" w:rsidRPr="00600A77" w:rsidRDefault="006A49CE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A49CE" w:rsidRPr="00600A77" w:rsidTr="006A49CE">
        <w:tc>
          <w:tcPr>
            <w:tcW w:w="2285" w:type="dxa"/>
            <w:vMerge/>
          </w:tcPr>
          <w:p w:rsidR="006A49CE" w:rsidRPr="00600A77" w:rsidRDefault="006A49CE" w:rsidP="0060600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6A49CE" w:rsidRPr="00600A77" w:rsidRDefault="006A49CE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6A49CE" w:rsidRPr="00600A77" w:rsidRDefault="006A49CE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 elastyczność w zakresie skalowania licencji serwerowych i bazodanowych wraz z rozbudową infrastruktury i wzrostem liczby użytkowników.</w:t>
            </w:r>
          </w:p>
        </w:tc>
        <w:tc>
          <w:tcPr>
            <w:tcW w:w="1512" w:type="dxa"/>
          </w:tcPr>
          <w:p w:rsidR="006A49CE" w:rsidRPr="00600A77" w:rsidRDefault="006A49CE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A49CE" w:rsidRPr="00600A77" w:rsidTr="006A49CE">
        <w:tc>
          <w:tcPr>
            <w:tcW w:w="2285" w:type="dxa"/>
            <w:vMerge/>
          </w:tcPr>
          <w:p w:rsidR="006A49CE" w:rsidRPr="00600A77" w:rsidRDefault="006A49CE" w:rsidP="0060600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6A49CE" w:rsidRPr="00600A77" w:rsidRDefault="006A49CE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6A49CE" w:rsidRPr="00600A77" w:rsidRDefault="006A49CE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 narzędzia i mechanizmy umożliwiające monitorowanie i raportowanie dotyczące licencji serwerowych i bazodanowych, co pozwala na skuteczne zarządzanie licencjami po stronie Zamawiającego.</w:t>
            </w:r>
          </w:p>
        </w:tc>
        <w:tc>
          <w:tcPr>
            <w:tcW w:w="1512" w:type="dxa"/>
          </w:tcPr>
          <w:p w:rsidR="006A49CE" w:rsidRPr="00600A77" w:rsidRDefault="006A49CE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A49CE" w:rsidRPr="00600A77" w:rsidTr="006A49CE">
        <w:tc>
          <w:tcPr>
            <w:tcW w:w="2285" w:type="dxa"/>
            <w:vMerge/>
          </w:tcPr>
          <w:p w:rsidR="006A49CE" w:rsidRPr="00600A77" w:rsidRDefault="006A49CE" w:rsidP="00606009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6A49CE" w:rsidRPr="00600A77" w:rsidRDefault="006A49CE" w:rsidP="00600A77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6A49CE" w:rsidRPr="00600A77" w:rsidRDefault="006A49CE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  <w:shd w:val="clear" w:color="auto" w:fill="FFFFFF"/>
              </w:rPr>
              <w:t>Wykonawca 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zapewnia, że wraz z rozbudową infrastruktury i wzrostem liczby użytkowników, a tym samym zwiększeniem transferem danych "do" i "z" Systemu nie zostaną wygenerowane żadne  koszty dodatkowe, a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środowisko serwerowe i bazodanowe jest skalowalne względem transferu danych, ilości użytkowników systemu oraz ilości wpisów w bazie danych.</w:t>
            </w:r>
          </w:p>
        </w:tc>
        <w:tc>
          <w:tcPr>
            <w:tcW w:w="1512" w:type="dxa"/>
          </w:tcPr>
          <w:p w:rsidR="006A49CE" w:rsidRPr="00600A77" w:rsidRDefault="00AC66D3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0414C2" w:rsidRPr="00600A77" w:rsidTr="006A49CE">
        <w:tc>
          <w:tcPr>
            <w:tcW w:w="2285" w:type="dxa"/>
            <w:vMerge w:val="restart"/>
          </w:tcPr>
          <w:p w:rsidR="000414C2" w:rsidRPr="00600A77" w:rsidRDefault="000414C2" w:rsidP="003946F2">
            <w:pPr>
              <w:jc w:val="center"/>
              <w:rPr>
                <w:rFonts w:ascii="Verdana" w:hAnsi="Verdana"/>
                <w:sz w:val="20"/>
                <w:szCs w:val="20"/>
              </w:rPr>
            </w:pPr>
            <w:bookmarkStart w:id="0" w:name="_Hlk136255549"/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BEZPIECZEŃSTWA dot. haseł i logowania</w:t>
            </w:r>
          </w:p>
        </w:tc>
        <w:tc>
          <w:tcPr>
            <w:tcW w:w="1686" w:type="dxa"/>
          </w:tcPr>
          <w:p w:rsidR="000414C2" w:rsidRPr="00600A77" w:rsidRDefault="000414C2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414C2" w:rsidRPr="00600A77" w:rsidRDefault="000414C2" w:rsidP="003946F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posiadać system uwierzytelniania, który pozwala użytkownikom na bezpieczne logowanie się i weryfikację tożsamości. Ponadto, system autoryzacji powinien ograniczać dostęp do funkcji i zasobów tylko dla upoważnionych użytkowników.</w:t>
            </w:r>
          </w:p>
          <w:p w:rsidR="000414C2" w:rsidRPr="00600A77" w:rsidRDefault="000414C2" w:rsidP="003A1C5A">
            <w:pPr>
              <w:spacing w:after="160" w:line="276" w:lineRule="auto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512" w:type="dxa"/>
          </w:tcPr>
          <w:p w:rsidR="000414C2" w:rsidRPr="00600A77" w:rsidRDefault="000414C2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0414C2" w:rsidRPr="00600A77" w:rsidTr="006A49CE">
        <w:tc>
          <w:tcPr>
            <w:tcW w:w="2285" w:type="dxa"/>
            <w:vMerge/>
          </w:tcPr>
          <w:p w:rsidR="000414C2" w:rsidRPr="00600A77" w:rsidRDefault="000414C2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414C2" w:rsidRPr="00600A77" w:rsidRDefault="000414C2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414C2" w:rsidRPr="00600A77" w:rsidRDefault="000414C2" w:rsidP="00896BED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Logowanie do systemu powinno być zabezpieczone w taki sposób aby uniemożliwić enumerację haseł czy loginów użytkowników systemu</w:t>
            </w:r>
          </w:p>
          <w:p w:rsidR="000414C2" w:rsidRPr="00600A77" w:rsidRDefault="000414C2" w:rsidP="003946F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0414C2" w:rsidRPr="00600A77" w:rsidRDefault="000414C2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0414C2" w:rsidRPr="00600A77" w:rsidTr="006A49CE">
        <w:tc>
          <w:tcPr>
            <w:tcW w:w="2285" w:type="dxa"/>
            <w:vMerge/>
          </w:tcPr>
          <w:p w:rsidR="000414C2" w:rsidRPr="00600A77" w:rsidRDefault="000414C2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0414C2" w:rsidRPr="00600A77" w:rsidRDefault="000414C2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0414C2" w:rsidRPr="00600A77" w:rsidRDefault="000414C2" w:rsidP="000414C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Kontrolka służąca do podania loginu nie podpowiada i nie pamięta poprzednio wprowadzanych wartości.</w:t>
            </w:r>
          </w:p>
          <w:p w:rsidR="000414C2" w:rsidRPr="00600A77" w:rsidRDefault="000414C2" w:rsidP="003A1C5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0414C2" w:rsidRPr="00600A77" w:rsidRDefault="000414C2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bookmarkEnd w:id="0"/>
      <w:tr w:rsidR="00F779DD" w:rsidRPr="00600A77" w:rsidTr="006A49CE">
        <w:tc>
          <w:tcPr>
            <w:tcW w:w="2285" w:type="dxa"/>
            <w:vMerge w:val="restart"/>
          </w:tcPr>
          <w:p w:rsidR="00F779DD" w:rsidRPr="00600A77" w:rsidRDefault="00F779DD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szyfrowania danych</w:t>
            </w:r>
          </w:p>
        </w:tc>
        <w:tc>
          <w:tcPr>
            <w:tcW w:w="1686" w:type="dxa"/>
          </w:tcPr>
          <w:p w:rsidR="00F779DD" w:rsidRPr="00600A77" w:rsidRDefault="00F779DD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F779DD" w:rsidRPr="00600A77" w:rsidRDefault="00F779DD" w:rsidP="003A172E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Wymagany protokół HTTPS z ważnym (aktualnym) certyfikatem. Wszystkie dane przechowywane i przesyłane przez aplikację powinny być zaszyfrowane. Wymagane stosowanie silnego protokołu szyfrowania SSL (min. 2048 bit) TLS (min. 1.2), aby chronić poufne informacje przed przechwyceniem.</w:t>
            </w:r>
          </w:p>
          <w:p w:rsidR="00F779DD" w:rsidRPr="00600A77" w:rsidRDefault="00F779DD" w:rsidP="003946F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F779DD" w:rsidRPr="00600A77" w:rsidRDefault="00F779DD" w:rsidP="003A1C5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F779DD" w:rsidRPr="00600A77" w:rsidTr="006A49CE">
        <w:tc>
          <w:tcPr>
            <w:tcW w:w="2285" w:type="dxa"/>
            <w:vMerge/>
          </w:tcPr>
          <w:p w:rsidR="00F779DD" w:rsidRPr="00600A77" w:rsidRDefault="00F779DD" w:rsidP="003A172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F779DD" w:rsidRPr="00600A77" w:rsidRDefault="00F779DD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F779DD" w:rsidRPr="00600A77" w:rsidRDefault="00F779DD" w:rsidP="003A172E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Dostęp do kluczy szyfrujących powinny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posiadać tylko i wyłącznie uprawnione osoby po stronie  Zamawiającego. Zgoda na dostęp do kluczy jest wydawana przez Administratora systemu.</w:t>
            </w:r>
          </w:p>
          <w:p w:rsidR="00F779DD" w:rsidRPr="00600A77" w:rsidRDefault="00F779DD" w:rsidP="003A172E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F779DD" w:rsidRPr="00600A77" w:rsidRDefault="00F779DD" w:rsidP="003A172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F779DD" w:rsidRPr="00600A77" w:rsidTr="006A49CE">
        <w:tc>
          <w:tcPr>
            <w:tcW w:w="2285" w:type="dxa"/>
            <w:vMerge/>
          </w:tcPr>
          <w:p w:rsidR="00F779DD" w:rsidRPr="00600A77" w:rsidRDefault="00F779DD" w:rsidP="003A172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F779DD" w:rsidRPr="00600A77" w:rsidRDefault="00F779DD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F779DD" w:rsidRPr="00600A77" w:rsidRDefault="00F779DD" w:rsidP="00796BA4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 systemie będzie zaimplementowany algorytm szyfrowania symetryczny/asymetryczny.</w:t>
            </w:r>
          </w:p>
        </w:tc>
        <w:tc>
          <w:tcPr>
            <w:tcW w:w="1512" w:type="dxa"/>
          </w:tcPr>
          <w:p w:rsidR="00F779DD" w:rsidRPr="00600A77" w:rsidRDefault="00F779DD" w:rsidP="003A172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9D0D8F" w:rsidRPr="00600A77" w:rsidTr="006A49CE">
        <w:tc>
          <w:tcPr>
            <w:tcW w:w="2285" w:type="dxa"/>
            <w:vMerge w:val="restart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zasobów</w:t>
            </w: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musi zostać umieszczona na zasobach dostawcy w modelu SaaS. Dostawca powinien zapewnić pełną dostępność oraz bezpieczeństwo działania Systemu i bazy danych systemu.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Dostawca powinien zapewnić separację środowisk i baz danych klientów aby zapobiec nieuprawnionemu dostępowi i przenikaniu danych/informacji pomiędzy różnymi instancjami systemu.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 swojej stronie zapewni dodatkowe środki zabezpieczające system przed niepowołanym dostępem,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w tym: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Dla sieci publicznej/Internetu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-system kontroli treści</w:t>
            </w:r>
          </w:p>
          <w:p w:rsidR="009D0D8F" w:rsidRPr="00600A77" w:rsidRDefault="009D0D8F" w:rsidP="0065011A">
            <w:pPr>
              <w:pStyle w:val="Akapitzlist1"/>
              <w:numPr>
                <w:ilvl w:val="0"/>
                <w:numId w:val="3"/>
              </w:numPr>
              <w:ind w:left="611" w:hanging="283"/>
              <w:jc w:val="both"/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</w:pPr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t>dostęp VPN (szyfrowany dostęp zdalny)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-system bezpieczeństwa usługi DNS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(firewall DNS)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-firewall sprzętowy,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-IDS/IPS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load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balancer</w:t>
            </w:r>
            <w:proofErr w:type="spellEnd"/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-dostęp do Internetu chroniony przed atakami DOS/DDOS</w:t>
            </w:r>
          </w:p>
          <w:p w:rsidR="009D0D8F" w:rsidRPr="00600A77" w:rsidRDefault="009D0D8F" w:rsidP="0065011A">
            <w:pPr>
              <w:pStyle w:val="Akapitzlist1"/>
              <w:numPr>
                <w:ilvl w:val="0"/>
                <w:numId w:val="3"/>
              </w:numPr>
              <w:jc w:val="both"/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</w:pPr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lastRenderedPageBreak/>
              <w:t xml:space="preserve">system kontroli dostępu do sieci </w:t>
            </w:r>
            <w:proofErr w:type="spellStart"/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t>wewn</w:t>
            </w:r>
            <w:proofErr w:type="spellEnd"/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t>. (802.1x)</w:t>
            </w:r>
          </w:p>
          <w:p w:rsidR="009D0D8F" w:rsidRPr="00600A77" w:rsidRDefault="009D0D8F" w:rsidP="0065011A">
            <w:pPr>
              <w:pStyle w:val="Akapitzlist1"/>
              <w:numPr>
                <w:ilvl w:val="0"/>
                <w:numId w:val="3"/>
              </w:numPr>
              <w:jc w:val="both"/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</w:pPr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t>zabezpieczony system przydziału adresów IP</w:t>
            </w:r>
          </w:p>
          <w:p w:rsidR="009D0D8F" w:rsidRPr="00600A77" w:rsidRDefault="009D0D8F" w:rsidP="0065011A">
            <w:pPr>
              <w:pStyle w:val="Akapitzlist1"/>
              <w:numPr>
                <w:ilvl w:val="0"/>
                <w:numId w:val="3"/>
              </w:numPr>
              <w:jc w:val="both"/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</w:pPr>
            <w:r w:rsidRPr="00600A77">
              <w:rPr>
                <w:rFonts w:ascii="Verdana" w:eastAsiaTheme="minorHAnsi" w:hAnsi="Verdana" w:cstheme="minorBidi"/>
                <w:color w:val="000000"/>
                <w:sz w:val="20"/>
                <w:szCs w:val="20"/>
              </w:rPr>
              <w:t>system ochrony antywirusowej.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Dopuszczalne jest zastosowanie innych równoważnych zabezpieczeń infrastruktury Wykonawcy po jego stronie, po wykonaniu Analizy przedwdrożeniowej i akceptacji przez Zamawiającego.</w:t>
            </w: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9D0D8F" w:rsidRPr="00600A77" w:rsidTr="006A49CE">
        <w:tc>
          <w:tcPr>
            <w:tcW w:w="2285" w:type="dxa"/>
            <w:vMerge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Dostęp do zasobu przyznawany na zasadzie listy dostępu (ACL), a uprawnienia użytkowników aplikacji różnicowane co najmniej na poziomie do odczytu/zapisu/usuwania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9D0D8F" w:rsidRPr="00600A77" w:rsidTr="006A49CE">
        <w:tc>
          <w:tcPr>
            <w:tcW w:w="2285" w:type="dxa"/>
            <w:vMerge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 przypadku przechowywania danych użytkowników, należy zapewnić odpowiednie zabezpieczenia, takie jak silne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hashowanie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haseł (min. MD5,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Bcrypt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) lub przechowywanie haseł w bezpiecznych bazach danych i ograniczenie dostępu do tych baz tylko dla niezbędnych pracowników.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2/3</w:t>
            </w:r>
          </w:p>
        </w:tc>
      </w:tr>
      <w:tr w:rsidR="009D0D8F" w:rsidRPr="00600A77" w:rsidTr="006A49CE">
        <w:tc>
          <w:tcPr>
            <w:tcW w:w="2285" w:type="dxa"/>
            <w:vMerge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Do danych przechowywanych na zewnętrznych zasobach nie może mieć dostępu inny podmiot zewnętrzny. Zgodę na dostęp do danych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wyraża wyłącznie Zamawiający.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9D0D8F" w:rsidRPr="00600A77" w:rsidTr="006A49CE">
        <w:tc>
          <w:tcPr>
            <w:tcW w:w="2285" w:type="dxa"/>
            <w:vMerge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powinien zapewnić środki  uniemożliwiające nieautoryzowany dostęp na poziomie baz danych, usług sieciowych i aplikacji.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9D0D8F" w:rsidRPr="00600A77" w:rsidTr="006A49CE">
        <w:tc>
          <w:tcPr>
            <w:tcW w:w="2285" w:type="dxa"/>
            <w:vMerge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9D0D8F" w:rsidRPr="00600A77" w:rsidRDefault="009D0D8F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 swojej stronie odpowiednio zabezpieczy centrum przetwarzania danych, minimalne wymagania: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-system sygnalizacji włamania i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napadu</w:t>
            </w:r>
            <w:r w:rsidRPr="00600A77" w:rsidDel="0004166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-system redundantnej klimatyzacji precyzyjnej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-redundantne zasilanie w energię elektryczną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-system sygnalizacji pożaru oraz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 xml:space="preserve">stałych urządzeń gaśniczych 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-system kontroli dostępu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-system awaryjnego podtrzymania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br/>
              <w:t>zasilania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-zabezpieczone punkty dystrybucyjne sieci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-system monitoringu (w tym wizyjnego) i raportowania stanu i zarządzania infrastrukturą</w:t>
            </w:r>
          </w:p>
          <w:p w:rsidR="009D0D8F" w:rsidRPr="00600A77" w:rsidRDefault="009D0D8F" w:rsidP="0065011A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9D0D8F" w:rsidRPr="00600A77" w:rsidRDefault="009D0D8F" w:rsidP="0065011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740995" w:rsidRPr="00600A77" w:rsidTr="006A49CE">
        <w:tc>
          <w:tcPr>
            <w:tcW w:w="2285" w:type="dxa"/>
            <w:vMerge w:val="restart"/>
          </w:tcPr>
          <w:p w:rsidR="00740995" w:rsidRPr="00600A77" w:rsidRDefault="00740995" w:rsidP="009D0D8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monitoringu oraz zbierania logów</w:t>
            </w:r>
          </w:p>
        </w:tc>
        <w:tc>
          <w:tcPr>
            <w:tcW w:w="1686" w:type="dxa"/>
          </w:tcPr>
          <w:p w:rsidR="00740995" w:rsidRPr="00600A77" w:rsidRDefault="00740995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740995" w:rsidRPr="00600A77" w:rsidRDefault="00740995" w:rsidP="0074099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mieć włączony mechanizm monitorowania zdarzeń bezpieczeństwa, dostawca powinien prowadzić nieustanny monitoring zdarzeń bezpieczeństwa dotyczący aplikacji i infrastruktury.</w:t>
            </w:r>
          </w:p>
          <w:p w:rsidR="00740995" w:rsidRPr="00600A77" w:rsidRDefault="00740995" w:rsidP="009D0D8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740995" w:rsidRPr="00600A77" w:rsidRDefault="00740995" w:rsidP="009D0D8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740995" w:rsidRPr="00600A77" w:rsidTr="006A49CE">
        <w:tc>
          <w:tcPr>
            <w:tcW w:w="2285" w:type="dxa"/>
            <w:vMerge/>
          </w:tcPr>
          <w:p w:rsidR="00740995" w:rsidRPr="00600A77" w:rsidRDefault="00740995" w:rsidP="009D0D8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740995" w:rsidRPr="00600A77" w:rsidRDefault="00740995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740995" w:rsidRPr="00600A77" w:rsidRDefault="00740995" w:rsidP="0074099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posiada mechanizm eksportu logów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systemowych na wskazany zasób lub zapisuje je we własnym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syslogu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z zapewnieniem dostępu dla systemu SIEM (odczyt); Wykonawca otrzyma informację o strukturze rekordu logu podczas analizy przedwdrożeniowej.</w:t>
            </w:r>
          </w:p>
          <w:p w:rsidR="00740995" w:rsidRPr="00600A77" w:rsidRDefault="00740995" w:rsidP="009D0D8F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740995" w:rsidRPr="00600A77" w:rsidRDefault="00740995" w:rsidP="009D0D8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8A5898" w:rsidRPr="00600A77" w:rsidTr="006A49CE">
        <w:tc>
          <w:tcPr>
            <w:tcW w:w="2285" w:type="dxa"/>
            <w:vMerge w:val="restart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BEZPIECZEŃSTWA dot. podatności</w:t>
            </w: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Aplikacja powinna być odporna na ataki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hakerskie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min. XSS (Cross-Site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Scripting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) oraz SQL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Injection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które mogą prowadzić do wykradzenia danych lub naruszenia bezpieczeństwa systemu. 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powinien zapewnić regularne aktualizacje systemu jak i infrastruktury na którym stoi, aby usuwać luki bezpieczeństwa i implementować zabezpieczenia niwelujące znalezione podatności.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Wykonawca powinien w trybie </w:t>
            </w:r>
            <w:r w:rsidR="0068524B">
              <w:rPr>
                <w:rFonts w:ascii="Verdana" w:hAnsi="Verdana"/>
                <w:color w:val="000000"/>
                <w:sz w:val="20"/>
                <w:szCs w:val="20"/>
              </w:rPr>
              <w:t xml:space="preserve">awarii krytycznej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usuwać zgłaszane przez CUI uwagi dotyczące luk bezpieczeństwa danej aplikacji.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Przed wdrożeniem aplikacji, </w:t>
            </w:r>
            <w:r w:rsidR="00C5211D">
              <w:rPr>
                <w:rFonts w:ascii="Verdana" w:hAnsi="Verdana"/>
                <w:color w:val="000000"/>
                <w:sz w:val="20"/>
                <w:szCs w:val="20"/>
              </w:rPr>
              <w:t>wymagane jest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przeprowadzenie testów penetracyjnych, które polegają na kontrolowanej próbie ataków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hakerskich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w celu identyfikacji ewentualnych słabości i luk w zabezpieczeniach. Raport z testów penetracyjnych i audytu bezpieczeństwa aplikacji należy dostarczyć do Zamawiającego przed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oddaniem systemu do użytku w trybie produkcyjnym.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Testy powinny być wykonywane z uwzględnieniem najlepszych praktyk oraz metodyk takich jak OSSTM, ISSAF oraz OWASP TOP 10.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Aplikacja powinna posiadać nagłówki bezpieczeństwa, min.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Strict-Transport-Security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Referrer-Policy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X-Content-Type-Options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Permissions-Policy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X-Frame-Options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Content-Security-Policy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HTTP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Strict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Transport Security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Zarządzanie sesjami użytkowników powinno być unikalne i identyfikowane za pomocą bezpiecznych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tokenów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sesji.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8A5898" w:rsidRPr="00600A77" w:rsidTr="006A49CE">
        <w:tc>
          <w:tcPr>
            <w:tcW w:w="2285" w:type="dxa"/>
            <w:vMerge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8A5898" w:rsidRPr="00600A77" w:rsidRDefault="008A5898" w:rsidP="00600A77">
            <w:pPr>
              <w:pStyle w:val="Akapitzlist"/>
              <w:numPr>
                <w:ilvl w:val="0"/>
                <w:numId w:val="2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być zabezpieczona przed atakami CSRF (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Cross-Site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Request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Forgery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) poprzez stosowanie odpowiednich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tokenów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CSRF.</w:t>
            </w:r>
          </w:p>
          <w:p w:rsidR="008A5898" w:rsidRPr="00600A77" w:rsidRDefault="008A5898" w:rsidP="003C0255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8A5898" w:rsidRPr="00600A77" w:rsidRDefault="008A5898" w:rsidP="003C025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</w:tbl>
    <w:p w:rsidR="006A588B" w:rsidRPr="00600A77" w:rsidRDefault="006A588B" w:rsidP="00E81546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E81546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E81546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B220A1" w:rsidRPr="00600A77" w:rsidRDefault="00B220A1" w:rsidP="00962710">
      <w:pPr>
        <w:rPr>
          <w:rFonts w:ascii="Verdana" w:hAnsi="Verdana"/>
          <w:sz w:val="20"/>
          <w:szCs w:val="20"/>
        </w:rPr>
      </w:pPr>
    </w:p>
    <w:p w:rsidR="00B220A1" w:rsidRPr="00600A77" w:rsidRDefault="00B220A1" w:rsidP="00962710">
      <w:pPr>
        <w:rPr>
          <w:rFonts w:ascii="Verdana" w:hAnsi="Verdana"/>
          <w:sz w:val="20"/>
          <w:szCs w:val="20"/>
        </w:rPr>
      </w:pPr>
    </w:p>
    <w:p w:rsidR="00606009" w:rsidRPr="00600A77" w:rsidRDefault="00606009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p w:rsidR="009620CE" w:rsidRPr="00600A77" w:rsidRDefault="009620CE" w:rsidP="00962710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9067" w:type="dxa"/>
        <w:tblLook w:val="04A0"/>
      </w:tblPr>
      <w:tblGrid>
        <w:gridCol w:w="2196"/>
        <w:gridCol w:w="1734"/>
        <w:gridCol w:w="3625"/>
        <w:gridCol w:w="1512"/>
      </w:tblGrid>
      <w:tr w:rsidR="00962710" w:rsidRPr="00600A77" w:rsidTr="00610667">
        <w:tc>
          <w:tcPr>
            <w:tcW w:w="2196" w:type="dxa"/>
          </w:tcPr>
          <w:p w:rsidR="00962710" w:rsidRPr="00600A77" w:rsidRDefault="00962710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</w:tcPr>
          <w:p w:rsidR="00962710" w:rsidRPr="00600A77" w:rsidRDefault="00962710" w:rsidP="00962710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SYGNATURA WYMAGANIA</w:t>
            </w:r>
          </w:p>
        </w:tc>
        <w:tc>
          <w:tcPr>
            <w:tcW w:w="3625" w:type="dxa"/>
          </w:tcPr>
          <w:p w:rsidR="00962710" w:rsidRPr="00600A77" w:rsidRDefault="00962710" w:rsidP="00155C2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OPIS WYMAGANIA</w:t>
            </w:r>
          </w:p>
        </w:tc>
        <w:tc>
          <w:tcPr>
            <w:tcW w:w="1512" w:type="dxa"/>
          </w:tcPr>
          <w:p w:rsidR="00962710" w:rsidRPr="00600A77" w:rsidRDefault="00962710" w:rsidP="00155C2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PRIORYTET</w:t>
            </w:r>
          </w:p>
        </w:tc>
      </w:tr>
      <w:tr w:rsidR="00610667" w:rsidRPr="00600A77" w:rsidTr="00610667">
        <w:tc>
          <w:tcPr>
            <w:tcW w:w="2196" w:type="dxa"/>
            <w:vMerge w:val="restart"/>
          </w:tcPr>
          <w:p w:rsidR="00610667" w:rsidRPr="00600A77" w:rsidRDefault="00610667" w:rsidP="0061066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W ZAKRESIE PRZETWARZANIA DANYCH OSOBOWYCH</w:t>
            </w: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gdy różne zakresy danych przetwarzane są w oparciu o różne przesłanki legalizujące (podstawy prawne) system jest tego świadomy i potrafi przypisać konkretne działania/żądania/konsekwencje zrealizowanych żądań do konkretnego zakresu danych wg przesłanki legalizującej.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tabs>
                <w:tab w:val="left" w:pos="960"/>
              </w:tabs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gdy różne zakresy danych przetwarzane są w oparciu o różne źródła ich pozyskania (od osoby / z innych źródeł) system jest tego świadomy i potrafi przypisać konkretne działania/żądania/konsekwencje zrealizowanych żądań do konkretnego zakresu danych wg źródła pochodzenia.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przetwarzania w systemie danych osobowych (dane osobowe szczególne) system zbiera informację o fakcie wyrażenia przez osobę zgody na przetwarzanie danych osobowych szczególnych lub rejestruje podstawę prawna przetwarzania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musi być opracowany z domyślnymi ustawieniami, które chronią prawa osób, których dane dotyczą i zabezpieczają prywatność.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 w:val="restart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pozwala na zapisywanie informacji o okresie przetwarzania danych 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pozwala na zapisywanie sprzeciwów do przetwarzania danych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umożliwia wyszukanie osoby wg określonego zestawu atrybutów, w szczególności wg unikalnych identyfikatorów jeśli występują w systemie, prezentacja wyników wyszukiwania odbywa się „po jednym rekordzie” albo tylko w przypadku znalezienia jednego rekordu w wyniku zastosowania kryteriów wyszukiwania.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umożliwia wykonanie kompletnego wydruku lub serii wydruków zawierających komplet danych osobowych </w:t>
            </w: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lastRenderedPageBreak/>
              <w:t>wskazanej/wyszukanej osoby w przejrzystej jasnej postaci (raport danych osobowych).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umożliwia wykonanie kompletnego wydruku lub serii wydruków zawierających komplet danych osobowych wskazanej/wyszukanej osoby w przejrzystej jasnej postaci wraz z metadanymi dotyczącymi operacji wykonywanych na wydrukowanych danych.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umożliwia (w wyniku wywołania wbudowanej w niego funkcjonalności) eksportowanie danych dotyczących konkretnej osoby w jednym z następujących formatów danych: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txt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csv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xml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json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(dopuszczalne jest wielokrotne wywoływanie funkcjonalności w celu otrzymania kompletu danych, oczekiwane jest jednokrotne wywołanie skutkujące kompletem danych).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posiada wbudowane funkcjonalności umożliwiające wybiórczą lub kompletną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anonimizację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danych albo  wybiórcze lub kompletne usunięcie danych, które nie powinny być już przetwarzane.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posiada wbudowane funkcjonalności umożliwiające wybiórczą lub kompletną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pseudonimizację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danych wraz z możliwością uprawnionego odwrócenia.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posiada „archiwum wewnętrzne” do którego dane mogą być przenoszone (ręcznie lub automatycznie) po zadanym okresie przetwarzania lub po spełnieniu innych warunków.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Usługa Podmiotu Świadczącego Usługi Chmurowe zapewnia Klientowi możliwość wyboru sposobu wykorzystania usługi polegającego na przechowywaniu i przetwarzaniu jego danych w całości na terenie EOG, co pozwala na uniknięcie stosowania przepisów RODO regulujących przekazywanie danych osobowych poza EOG.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Wykorzystywana przez System chmura obliczeniowa musi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zapewniać zgodność z zapisami RODO w kwestii przetwarzania danych oraz wymagane jest, aby dane były przechowywane na terenie EOG z możliwością kontroli tego procesu 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przekazuje Klientowi informacje o regionie i kraju, w którym dane są przechowywane i przetwarzane, przez Podmiot Świadczący Usługi Chmurowe lub w jego imieniu.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przekazuje właściwemu organowi nadzorczemu dokładny adres odpowiednich obiektów (jeżeli takie informacje są wymagane przez organ), w celu wywiązania się z obowiązków wynikających z przepisów o ochronie danych.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przeprowadza okresowe przeglądy bezpieczeństwa sieci oraz adekwatności programu bezpieczeństwa informacji.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spełnia pod względem prawnym wymagania przepisów o ochronie danych osobowych (krajowych, jak i Unii Europejskiej), w szczególności: </w:t>
            </w:r>
          </w:p>
          <w:p w:rsidR="00610667" w:rsidRPr="00600A77" w:rsidRDefault="00610667" w:rsidP="00610667">
            <w:pPr>
              <w:pStyle w:val="Akapitzlist"/>
              <w:numPr>
                <w:ilvl w:val="0"/>
                <w:numId w:val="4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również RODO,</w:t>
            </w:r>
          </w:p>
          <w:p w:rsidR="00610667" w:rsidRPr="00600A77" w:rsidRDefault="00610667" w:rsidP="00610667">
            <w:pPr>
              <w:pStyle w:val="Akapitzlist"/>
              <w:numPr>
                <w:ilvl w:val="0"/>
                <w:numId w:val="4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ustawy z dnia 10 maja 2018r. o ochronie danych osobowych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u.o.d.o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)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ustawy z dnia 17 lutego 2005 r. o informatyzacji działalności podmiotów realizujących zadania publiczne (tekst jednolity Dz. U. z 2014 r. poz. 1114) oraz wydane do niej rozporządzenie Rady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Ministrów z dnia 12 kwietnia 2012 r. w sprawie Krajowych Ram Interoperacyjności, minimalnych wymagań dla rejestrów publicznych i wymiany informacji w postaci elektronicznej oraz minimalnych wymagań dla systemów teleinformatycznych (tekst jednolity Dz. U. z 2016 r. poz. 113)."</w:t>
            </w: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zapewnić, że informacje przetwarzane w chmurze obliczeniowej są szyfrowane zgodnie z poniższymi zasadami: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Zamawiający posiada dostęp do szczegółowych i aktualnych instrukcji konfiguracji usług chmury obliczeniowej oraz metod weryfikacji poprawności ich konfiguracji i działania, w szczególności w zakresie szyfrowania przetwarzanych informacji.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Przetwarzanie danych będzie odbywało się w poprawnej konfiguracji usług chmury obliczeniowej, zgodnie z wytycznymi dostawcy usług chmury obliczeniowej, w tym pod kątem stosowania szyfrowania przetwarzanych informacji;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informacje prawnie chronione przetwarzane w chmurze obliczeniowej są szyfrowane zarówno „data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at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rest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” jak i „data in transit” na zasadach co najmniej określonych poniżej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Informacje są szyfrowane kluczami generowanymi przez Zamawiającego lub przez niego zarządzane, chyba że z oszacowania ryzyka wynika, wyniknie iż dopuszczalne lub wskazane jest używanie kluczy szyfrujących generowanych lub zarządzanych przez dostawcę usług chmury obliczeniowej.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W przypadku, gdy z szacowania ryzyka wynika konieczność utrzymywania i zarządzania kluczami szyfrującymi przy wykorzystaniu sprzętowych rozwiązań (HSM9 ), to HSM mogą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 xml:space="preserve">być udostępniane przez dostawcę usług chmury obliczeniowej, przy uwzględnieniu tego elementu w szacowaniu ryzyka. HSM powinny spełniać wymagania minimum FIPS10 140-2 Level 2 lub równoważne. 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Proces zarządzania kluczami szyfrującymi powinien uwzględniać przechowywanie w ramach własnej infrastruktury kopii kluczy szyfrujących, które zostały wygenerowane lub są zarządzane przez dostawcę usług chmury obliczeniowej, chyba że z oszacowania ryzyka wynika uzasadniony brak takiej potrzeby.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zabezpiecza logi przed nieautoryzowanym dostępem, modyfikacją lub usunięciem przez okres zgodny z ustalonymi zasadami bezpieczeństwa.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Jeżeli dane osobowe przetwarzane są bezpośrednio w systemie: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dane w spoczynku (z ang. data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at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rest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) są szyfrowane zgodnie z aktualnymi standardami i zgodnie z wymogami stawianymi w art. 32 ust. 1 RODO (min. AES-256),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dane w przesyle (z ang. data-in-transfer) w zakresie w jakim transfer odbywa się poza infrastrukturę informatyczną administratora – szyfrowane są zgodnie z aktualnymi standardami i zgodnie z wymogami stawianymi w art. 32 ust. 1 RODO (min. AES-256).</w:t>
            </w:r>
          </w:p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umożliwia stosowanie metod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pseudonimizację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danych – szczegółowe metody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pseudoanonimizacii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zostaną określone w analizie przedwdrożeniowej.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Jeżeli dane osobowe przechowywane są poza systemem system umożliwia (z uwzględnieniem rynkowych standardów) szyfrowanie danych w przesyle (data-in-transfer) pomiędzy systemem a źródłem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(np. bazą danych) z którego są one pobierane i do którego są one zapisywane.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ma zdolność do ciągłego zapewnienia: poufności, integralności, dostępności i odporności systemów i usług przetwarzania.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ma zdolność do szybkiego przywrócenia dostępności danych osobowych i dostępu do nich w razie incydentu fizycznego lub technicznego (w szczególności przez automatyczne backupy).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zapewnia rozliczalność dokonywanych w nim operacji na danych, w szczególności system rejestruje (np. w logach) wykonywanie operacji na danych osobowych i umożliwia wskazanie przypisanie operacji do konkretnego konta w systemie.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wyodrębniać poszczególne kategorie danych (np. imię i nazwisko, adres, PESEL) i umożliwiać dostosowanie do których kategorii danych ma dostęp dany użytkownik.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umożliwiać tworzenie grup użytkowników (np. pracownicy, kierownicy, dyrektorzy) w stosunku do których można dostosować do których kategorii danych grupa ma dostęp.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powinien mieć zmapowane wszystkie procesy, w ramach których dochodzi do przetwarzania danych osobowych w systemie. 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610667" w:rsidRPr="00600A77" w:rsidTr="00610667">
        <w:tc>
          <w:tcPr>
            <w:tcW w:w="2196" w:type="dxa"/>
            <w:vMerge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610667" w:rsidRPr="00600A77" w:rsidRDefault="00610667" w:rsidP="00610667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Mapa procesów systemu powinna wskazywać co najmniej przepływ kategorii danych (np. imię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nazwisko, adres, PESEL) w danym procesie.</w:t>
            </w:r>
          </w:p>
          <w:p w:rsidR="00610667" w:rsidRPr="00600A77" w:rsidRDefault="00610667" w:rsidP="00610667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610667" w:rsidRPr="00600A77" w:rsidRDefault="00610667" w:rsidP="00610667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</w:tbl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6F1C46" w:rsidRPr="00600A77" w:rsidRDefault="006F1C46" w:rsidP="00962710">
      <w:pPr>
        <w:rPr>
          <w:rFonts w:ascii="Verdana" w:hAnsi="Verdana"/>
          <w:sz w:val="20"/>
          <w:szCs w:val="20"/>
        </w:rPr>
      </w:pPr>
    </w:p>
    <w:p w:rsidR="006F1C46" w:rsidRPr="00600A77" w:rsidRDefault="006F1C46" w:rsidP="00962710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9606" w:type="dxa"/>
        <w:tblLayout w:type="fixed"/>
        <w:tblLook w:val="04A0"/>
      </w:tblPr>
      <w:tblGrid>
        <w:gridCol w:w="2048"/>
        <w:gridCol w:w="1462"/>
        <w:gridCol w:w="4111"/>
        <w:gridCol w:w="1985"/>
      </w:tblGrid>
      <w:tr w:rsidR="006F1C46" w:rsidRPr="00600A77" w:rsidTr="006F1C46">
        <w:tc>
          <w:tcPr>
            <w:tcW w:w="2048" w:type="dxa"/>
            <w:vMerge w:val="restart"/>
          </w:tcPr>
          <w:p w:rsidR="006F1C46" w:rsidRPr="00600A77" w:rsidRDefault="006F1C46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OPCJONALNE WYMAGANIA W ZAKRESIE PRZETWARZANIA DANYCH OSOBOWYCH</w:t>
            </w:r>
          </w:p>
          <w:p w:rsidR="006F1C46" w:rsidRPr="00600A77" w:rsidRDefault="006F1C46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6F1C46" w:rsidRPr="00600A77" w:rsidRDefault="006F1C46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6F1C46" w:rsidRPr="00600A77" w:rsidRDefault="006F1C46" w:rsidP="00962710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6F1C46" w:rsidRPr="00600A77" w:rsidRDefault="006F1C46" w:rsidP="00155C22">
            <w:pPr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Raporty i wydruki generowane przez system w zakresie ochrony danych osobowych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wykonywania operacji na rekordach zawierających dane osobowe ze wskazaniem użytkownika i czynności, która została przeprowadzona.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rekordów danych przetwarzanych na podstawie zgody.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rekordów danych, dla których wycofano zgodę na przetwarzanie danych.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dla rekordów danych, których czas retencji minął.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dotyczące sprzeciwu wobec przetwarzania danych osobowych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generuje raporty dotyczące żądań podmiotów danych praw art. 1615-18 oraz 20-22,  albo ograniczenie UODO z art. 58 ust.2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lit.f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RODO.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generuje raporty o przekazaniu informacji, o których mowa w pkt 6 dla potrzeb rozliczalności. 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wykonuje kompletny wydruk lub serie wydruków zawierających komplet danych osobowych wskazanej/wyszukanej osoby w przejrzystej jasnej postaci wraz z metadanymi dotyczącymi operacji wykonywanych na wydrukowanych danych.</w:t>
            </w:r>
          </w:p>
          <w:p w:rsidR="006F1C46" w:rsidRPr="00600A77" w:rsidRDefault="006F1C46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6F1C46" w:rsidRPr="00600A77" w:rsidRDefault="006F1C46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OBLIGATORYJNOŚĆ OKREŚLA IOD KLIENTA, DLA KTÓREGO SYSTEM JEST ZAMAWIANY</w:t>
            </w:r>
          </w:p>
        </w:tc>
      </w:tr>
      <w:tr w:rsidR="006F1C46" w:rsidRPr="00600A77" w:rsidTr="006F1C46">
        <w:tc>
          <w:tcPr>
            <w:tcW w:w="2048" w:type="dxa"/>
            <w:vMerge/>
          </w:tcPr>
          <w:p w:rsidR="006F1C46" w:rsidRPr="00600A77" w:rsidRDefault="006F1C46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6F1C46" w:rsidRPr="00600A77" w:rsidRDefault="006F1C46" w:rsidP="00962710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6F1C46" w:rsidRPr="00600A77" w:rsidRDefault="006F1C46" w:rsidP="00155C22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bookmarkStart w:id="1" w:name="_Toc118797290"/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Retencja danych osobowych</w:t>
            </w:r>
            <w:bookmarkEnd w:id="1"/>
          </w:p>
          <w:p w:rsidR="006F1C46" w:rsidRPr="00600A77" w:rsidRDefault="006F1C46" w:rsidP="00962710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ustawienie retencji danych dla danych przetwarzanych w systemie.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System umożliwia oznaczenie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, oflagowanie) rekordów danych dotyczących osób, których czas retencji minął. Oznaczanie skutkuje automatycznym (realizowanym przez system) wykluczeniem oznaczonych danych ze „zwykłych operacji”.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powiadamia użytkownika o upływie czasu retencji danych oraz umożliwia usunięcie danych, których czas retencji minął.</w:t>
            </w:r>
          </w:p>
        </w:tc>
        <w:tc>
          <w:tcPr>
            <w:tcW w:w="1985" w:type="dxa"/>
          </w:tcPr>
          <w:p w:rsidR="006F1C46" w:rsidRPr="00600A77" w:rsidRDefault="006F1C46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F1C46" w:rsidRPr="00600A77" w:rsidTr="006F1C46">
        <w:tc>
          <w:tcPr>
            <w:tcW w:w="2048" w:type="dxa"/>
            <w:vMerge/>
          </w:tcPr>
          <w:p w:rsidR="006F1C46" w:rsidRPr="00600A77" w:rsidRDefault="006F1C46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6F1C46" w:rsidRPr="00600A77" w:rsidRDefault="006F1C46" w:rsidP="00962710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6F1C46" w:rsidRPr="00600A77" w:rsidRDefault="006F1C46" w:rsidP="00155C2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Wymagania funkcjonalne związane z realizacją w systemie praw osoby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 xml:space="preserve">fizycznej, 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której dane dotyczą, o których mowa w art. 7 oraz art. 15 do art. 22 RODO w szczególności. rejestracji zgody i cofnięcia zgody, do usunięcia danych, sprzeciwu, sprostowania, ograniczenia dostępu do danych, informacji o przetwarzaniu, kopii danych)  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oznaczenie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oflagowanie) rekordów danych dotyczących osób, których przetwarzanie odbywa się na podstawie zgody. 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W przypadku cofnięcia zgody na przetwarzanie danych takie oznaczanie skutkuje powiadomieniem użytkownika, że dane można przechowywać, ale nie należy ich tymczasowo używać w „zwykłych operacjach”.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W przypadku cofnięcia zgody na przetwarzanie danych takie oznaczanie skutkuje automatycznym (realizowanym przez system) wykluczeniem oznaczonych danych ze „zwykłych operacji”.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oznaczanie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oflagowywanie) rekordów danych dotyczących osób które zgłosiły żądania w zakresie realizacji swoich praw art. 15-18 RODO oraz art. 20-22 RODO albo ograniczenia UODO z art. 58.2.f. (takie oznaczanie skutkuje powiadomieniem użytkownika, że dane można przechowywać, ale nie należy ich tymczasowo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używać w „zwykłych operacjach”).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oznaczanie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oflagowywanie) rekordów danych dotyczących osób które zgłosiły żądania w zakresie realizacji swoich praw art. 15-18 RODO oraz art. 20-22 RODO  albo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ograniczeniae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UODO z art. 58 ust. 2 lit. f RODO; takie oznaczanie skutkuje automatycznym (realizowanym przez system) wykluczeniem oznaczonych danych ze „zwykłych operacji”.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przechowuje historię implementowanych w nim żądań osób (kogo dotyczyło, w jakim okresie występowało, jakiego typu żądanie). Wymóg jest spełniony również jeżeli istnieje inny centralny system o takiej funkcjonalności dla wielu systemów/aplikacji.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Jeżeli system przetwarza dane osobowe w różnych celach to jest tego świadomy i implementuje lub umożliwia oznaczanie danych w oparciu o konkretne cele przetwarzania; takie oznaczenie ma swoje logiczne konsekwencje dla możliwych czynności przetwarzania oraz realizacji praw osób.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wyszukanie osoby wg określonego zestawu atrybutów, w szczególności wg unikalnych identyfikatorów jeśli występują w systemie; prezentacja wyników wyszukiwania odbywa się „po jednym rekordzie” albo tylko w przypadku znalezienia jednego rekordu w wyniku zastosowania kryteriów wyszukiwania.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umożliwia (w wyniku wywołania wbudowanej w niego funkcjonalności) eksportowanie danych dotyczących konkretnej osoby w jednym z następujących formatów danych: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txt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csv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xml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json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. Dopuszczalne jest wielokrotne wywoływanie funkcjonalności w celu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otrzymania kompletu danych, oczekiwane jest jednokrotne wywołanie skutkujące kompletem danych.</w:t>
            </w:r>
          </w:p>
          <w:p w:rsidR="006F1C46" w:rsidRPr="00600A77" w:rsidRDefault="006F1C46" w:rsidP="00962710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Lista „zwykłych operacji”, tj. tych w których nie można tymczasowo używać danych z rekordów oznaczonych  (z powodu zgłoszenia żądania w zakresie realizacji praw osób albo ograniczenia UODO z art. 58 ust. 2 lit. f RODO)  jest konfigurowalna dla systemu i występującego żądania/żądań.</w:t>
            </w:r>
          </w:p>
        </w:tc>
        <w:tc>
          <w:tcPr>
            <w:tcW w:w="1985" w:type="dxa"/>
          </w:tcPr>
          <w:p w:rsidR="006F1C46" w:rsidRPr="00600A77" w:rsidRDefault="006F1C46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62710" w:rsidRPr="00600A77" w:rsidRDefault="00962710" w:rsidP="00962710">
      <w:pPr>
        <w:rPr>
          <w:rFonts w:ascii="Verdana" w:hAnsi="Verdana"/>
          <w:sz w:val="20"/>
          <w:szCs w:val="20"/>
        </w:rPr>
      </w:pPr>
    </w:p>
    <w:p w:rsidR="00D05B29" w:rsidRDefault="00D05B2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246BF9" w:rsidRDefault="00E34536" w:rsidP="00246BF9">
      <w:pPr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MODEL </w:t>
      </w:r>
      <w:r w:rsidR="00246BF9" w:rsidRPr="00246BF9">
        <w:rPr>
          <w:rFonts w:ascii="Verdana" w:hAnsi="Verdana"/>
          <w:b/>
          <w:bCs/>
          <w:sz w:val="32"/>
          <w:szCs w:val="32"/>
        </w:rPr>
        <w:t>ON-PREMISE</w:t>
      </w: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8529" w:type="dxa"/>
        <w:tblLook w:val="04A0"/>
      </w:tblPr>
      <w:tblGrid>
        <w:gridCol w:w="2285"/>
        <w:gridCol w:w="1686"/>
        <w:gridCol w:w="3046"/>
        <w:gridCol w:w="1512"/>
      </w:tblGrid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44" w:type="dxa"/>
            <w:gridSpan w:val="3"/>
          </w:tcPr>
          <w:p w:rsidR="00246BF9" w:rsidRPr="00600A77" w:rsidRDefault="00246BF9" w:rsidP="00155C22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DLA SYSTEMU DOSTĘPNEGO W MODELU</w:t>
            </w: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 ON-PREMISE</w:t>
            </w:r>
            <w:r w:rsidRPr="00600A77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SYGNATURA WYMAGANIA</w:t>
            </w:r>
          </w:p>
        </w:tc>
        <w:tc>
          <w:tcPr>
            <w:tcW w:w="3046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OPIS WYMAGANIA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PRIORYTET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haseł i logowania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musi przechowywać hasła kont i zdefiniowanych połączeń w postaci zaszyfrowanej.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musi wymuszać zmianę haseł w sposób niezbędny dla zapewnienia właściwej ochrony i właściwego poziomu bezpieczeństwa danych i umożliwiać definiowania poziomu złożoności hasła (minimalna i maksymalna długość hasła, zawieranie małych i/lub dużych liter, znaków specjalnych i cyfr) oraz niepowtarzalności  w zdefiniowanym okresie czasu. Parametry te są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konfigurowalne przez administratora Systemu.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rPr>
          <w:trHeight w:val="1646"/>
        </w:trPr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System musi umożliwiać administratorowi zmianę hasła użytkownika poprzez wprowadzenie nowego hasła dla użytkownika. System wymusza zmianę hasła przez użytkownika przy pierwszej próbie logowania po zmianie hasła przez administratora.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rPr>
          <w:trHeight w:val="28"/>
        </w:trPr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Dostęp do Systemu musi być zawsze autoryzowany, co najmniej loginem i hasłem. Login (identyfikator użytkownika) musi być w systemie unikalny  i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może być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przydzielony tylko jednemu użytkownikowi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Po trzech nieudanych próbach logowania użytkownika w Systemie, System musi blokować konto użytkownika na okres czasu zdefiniowany przez Administratora systemu.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Konto będzie mogło zostać odblokowane przez administratora lub </w:t>
            </w:r>
            <w:r w:rsidRPr="00600A77">
              <w:rPr>
                <w:rFonts w:ascii="Verdana" w:hAnsi="Verdana" w:cs="Arial"/>
                <w:sz w:val="20"/>
                <w:szCs w:val="20"/>
              </w:rPr>
              <w:t>za pomocą rozwiązania automatycznego odblokowania po upływie czasu zdefiniowanego przez Administratora systemu.</w:t>
            </w:r>
          </w:p>
          <w:p w:rsidR="00246BF9" w:rsidRPr="00600A77" w:rsidRDefault="00246BF9" w:rsidP="00155C22">
            <w:pPr>
              <w:spacing w:line="276" w:lineRule="auto"/>
              <w:ind w:firstLine="708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powinien posiadać wsparcie dodatkowych metod uwierzytelniania typu MFA/2FA. Włączenie mechanizmu MFA powinno być opcjonalnie włączane przez Administratora systemu.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System musi pozwalać na jednoczesną pracę w Systemie wielu użytkownikom (z ograniczeniem 1 sesja-1 użytkownik). Przy próbie kolejnego zalogowania już zautoryzowanego użytkownika, system musi wyświetlić ostrzeżenie o trwającej już sesji. Identyfikator sesji powinien być unikalny.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Zasób informacyjny dostępny co najmniej po logowaniu domenowym.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Każdy użytkownik Systemu musi mieć przypisane indywidualne konto w Systemie i musi zostać uwierzytelniony, co 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lastRenderedPageBreak/>
              <w:t>najmniej podczas uruchamiania sesji. W przypadku bezczynności powyżej 30 minut, system musi automatycznie wylogować użytkownika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TECHNICZNE dot. kwestii administracyjnych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Wszystkie działania związane z aktywnością użytkowników muszą być rejestrowane w Systemie i dostępne dla roli Administrator. Szczegółowy zakres zapisywanych logów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zostanie określony podczas Analizy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przedwdrożeniowej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Dostęp użytkowników do danych oraz poszczególnych funkcji Systemu musi być regulowany przez Administratora uprawnieniami z wykorzystaniem ról,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 zarządzanie nimi umożliwione Administratorowi systemu.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System musi umożliwiać Administratorom po stronie  Zamawiającego nadawanie użytkownikom ról/uprawnień.</w:t>
            </w:r>
          </w:p>
          <w:p w:rsidR="00246BF9" w:rsidRPr="00600A77" w:rsidRDefault="00246BF9" w:rsidP="00155C22">
            <w:pPr>
              <w:spacing w:line="276" w:lineRule="auto"/>
              <w:ind w:firstLine="708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>Funkcje typowo administracyjne Systemu muszą być dostępne jedynie dla roli Administrator (np. zarządzanie użytkownikami  i operacje typu dodawanie, blokowanie, itp.)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t xml:space="preserve">System musi umożliwiać administratorowi dezaktywowanie użytkowników. Użytkownicy dezaktywowani nie mogą zalogować się do Systemu i wykonywać w nim żadnych </w:t>
            </w:r>
            <w:r w:rsidRPr="00600A77">
              <w:rPr>
                <w:rFonts w:ascii="Verdana" w:hAnsi="Verdana" w:cs="Arial"/>
                <w:color w:val="000000"/>
                <w:sz w:val="20"/>
                <w:szCs w:val="20"/>
              </w:rPr>
              <w:lastRenderedPageBreak/>
              <w:t xml:space="preserve">czynności. 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Administrator systemu po stronie Zamawiającego będzie miał zapewniony dostęp do nadawania uprawnień w systemie, wymuszania zmiany hasła, dostęp do logów systemowych.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przeprowadzi  szkolenia z zakresu bezpiecznej eksploatacji systemu - oddzielnie dla administratorów i użytkowników.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przekaże Administratorom dokumentację systemu oraz dokumentację przepływu danych.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rPr>
                <w:rFonts w:ascii="Verdana" w:hAnsi="Verdana" w:cs="Calibri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</w:rPr>
              <w:t>System przechowuje historię dotyczącą blokowania i odblokowywania kont użytkowników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246BF9" w:rsidRPr="00600A77" w:rsidTr="00155C22">
        <w:tc>
          <w:tcPr>
            <w:tcW w:w="2285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dostępności cyfrowej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spełnia wymagania Ustawy z dnia 4 kwietnia 2019 r. o dostępności cyfrowej stron internetowych i aplikacji mobilnych podmiotów publicznych z uwzględnieniem wymagań określonych w pkt 9, 10 i 11 normy EN 301 549 V2.1.2, w szczególności w zakresie: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funkcjonalności,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kompatybilności,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nawigacji,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postrzegalności,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zrozumiałości,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deklaracji dostępności,</w:t>
            </w:r>
          </w:p>
          <w:p w:rsidR="00246BF9" w:rsidRPr="00600A77" w:rsidRDefault="00246BF9" w:rsidP="00155C22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obsługi żądania zapewnienia dostępności cyfrowej.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 xml:space="preserve">WYMAGANIA </w:t>
            </w: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TECHNICZNE dot. zasobów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musi posiadać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wbudowaną funkcjonalność umożliwiającą wybiórczą lub kompletną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anonimizację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danych, które nie powinny być już przetwarzane w Systemie. Dotyczy to zwłaszcza pól dedykowanych, przeznaczonych do wpisywania danych osobowych.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3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Wykonawca przeprowadzi migrację danych, która umożliwi korzystanie z zamawianego Systemu w pełnym zakresie jego funkcjonalności z uwzględnieniem dotychczas zgromadzonych danych i dotychczas funkcjonującego rozwiązania u Zamawiającego. Szczegółowy zakres migrowanych danych oraz sposób ich przekazania zostaną ustalone w trakcie Analizy przedwdrożeniowej. 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tabs>
                <w:tab w:val="left" w:pos="913"/>
              </w:tabs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powinien dostarczyć narzędzie do samodzielnej migracji danych do/z Systemu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System powinien umożliwiać wymianę danych z innymi systemami, w szczególności udostępniać API wraz z dokumentacją dla programistów.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7E0D53" w:rsidRDefault="00246BF9" w:rsidP="00155C22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D53">
              <w:rPr>
                <w:rFonts w:ascii="Verdana" w:hAnsi="Verdana"/>
                <w:color w:val="000000"/>
                <w:sz w:val="20"/>
                <w:szCs w:val="20"/>
              </w:rPr>
              <w:t>Wykonawca musi zapewnić środki uniemożliwiające nieautoryzowany dostęp na poziomie baz danych</w:t>
            </w:r>
            <w:r w:rsidR="00653088">
              <w:rPr>
                <w:rFonts w:ascii="Verdana" w:hAnsi="Verdana"/>
                <w:color w:val="000000"/>
                <w:sz w:val="20"/>
                <w:szCs w:val="20"/>
              </w:rPr>
              <w:t xml:space="preserve">. </w:t>
            </w:r>
          </w:p>
          <w:p w:rsidR="00246BF9" w:rsidRPr="00600A77" w:rsidRDefault="00246BF9" w:rsidP="00155C22">
            <w:pPr>
              <w:spacing w:line="276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B8279A" w:rsidRDefault="00246BF9" w:rsidP="00155C22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 xml:space="preserve">Interfejs strony internetowej (dla wszystkich modułów </w:t>
            </w:r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aplikacji) musi być obsługiwany, w co najmniej następujących przeglądarkach: Google Chrome, Safari, </w:t>
            </w:r>
            <w:proofErr w:type="spellStart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Mozilla</w:t>
            </w:r>
            <w:proofErr w:type="spellEnd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Firefox</w:t>
            </w:r>
            <w:proofErr w:type="spellEnd"/>
            <w:r w:rsidRPr="00B8279A">
              <w:rPr>
                <w:rFonts w:ascii="Verdana" w:hAnsi="Verdana"/>
                <w:color w:val="000000"/>
                <w:sz w:val="20"/>
                <w:szCs w:val="20"/>
              </w:rPr>
              <w:t>, Opera, Microsoft Edge w wersjach wspieranych przez producenta</w:t>
            </w:r>
          </w:p>
          <w:p w:rsidR="00246BF9" w:rsidRPr="00B8279A" w:rsidRDefault="00246BF9" w:rsidP="00155C22">
            <w:pP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246BF9" w:rsidRPr="00600A77" w:rsidRDefault="00246BF9" w:rsidP="00155C22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Decyzja o rozbudowie, poprawie Systemu (tzw. „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upgrade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”) musi zostać zatwierdzona przez administratora systemu po stronie Zamawiającego (każdej zmianie musi zostać przypisana nowa wersja, a dziennik/historia zmian wersji aplikacji musi być na bieżąco aktualizowana i dostępna dla administratorów w dowolnym momencie).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Na etapie Analizy przedwdrożeniowej zostaną wypracowane wymogi dostępności systemu – SLA. 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Po zakończeniu umowy wymagane jest przekazanie kopii danych w powszechnie uznanym i wykorzystywanym formacie maszynowym, umożliwiającym Zamawiającemu przeniesienie danych do innego Systemu. Przekazanie kopii danych dotyczy również logów systemowych zawierających pełne informacje o dostępie do danych w czasie trwania umowy oraz „archiwum wewnętrznego” zawierającego dane, które już nie są przetwarzane.</w:t>
            </w:r>
          </w:p>
          <w:p w:rsidR="00246BF9" w:rsidRPr="00600A77" w:rsidRDefault="00246BF9" w:rsidP="00155C22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</w:t>
            </w:r>
            <w:r w:rsidR="00D11557">
              <w:rPr>
                <w:rFonts w:ascii="Verdana" w:hAnsi="Verdana"/>
                <w:sz w:val="20"/>
                <w:szCs w:val="20"/>
              </w:rPr>
              <w:t>powinien umożliwiać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wykonywani</w:t>
            </w:r>
            <w:r w:rsidR="00D11557">
              <w:rPr>
                <w:rFonts w:ascii="Verdana" w:hAnsi="Verdana"/>
                <w:sz w:val="20"/>
                <w:szCs w:val="20"/>
              </w:rPr>
              <w:t>e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backupów danych</w:t>
            </w:r>
            <w:r w:rsidR="00D11557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raportowania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Wszystkie raporty (zestawienia) generowane w Systemie muszą mieć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możliwość eksportu na ekran oraz do plików. Dozwolone formaty plików to: PDF 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xls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csv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xml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json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doc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docx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. Szablony niezbędne dla pracy użytkownika zostaną doprecyzowane w Analizie przedwdrożeniowej.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3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Polecenia dotyczące typowych funkcji Systemu (np. drukowanie, generowanie raportów, monitorowanie, alerty) muszą być realizowane w sposób ujednolicony dla całego systemu, wszystkich modułów i użytkowników.</w:t>
            </w:r>
          </w:p>
          <w:p w:rsidR="00246BF9" w:rsidRPr="00600A77" w:rsidRDefault="00246BF9" w:rsidP="00155C22">
            <w:pPr>
              <w:tabs>
                <w:tab w:val="left" w:pos="913"/>
              </w:tabs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musi wykorzystywać do stałego i okresowego eksportu bądź importu danych standard XML lub inne formaty wymiany danych wskazane w Rozporządzeniu KRI 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B7717D" w:rsidRPr="00600A77" w:rsidTr="00344ED6">
        <w:trPr>
          <w:trHeight w:val="1957"/>
        </w:trPr>
        <w:tc>
          <w:tcPr>
            <w:tcW w:w="2285" w:type="dxa"/>
          </w:tcPr>
          <w:p w:rsidR="00B7717D" w:rsidRPr="00600A77" w:rsidRDefault="00B7717D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TECHNICZNE dot. licencjonowania</w:t>
            </w:r>
          </w:p>
          <w:p w:rsidR="00B7717D" w:rsidRPr="00600A77" w:rsidRDefault="00B7717D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B7717D" w:rsidRPr="00043341" w:rsidRDefault="00B7717D" w:rsidP="00043341">
            <w:pPr>
              <w:pStyle w:val="Akapitzlist"/>
              <w:numPr>
                <w:ilvl w:val="0"/>
                <w:numId w:val="2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B7717D" w:rsidRPr="00600A77" w:rsidRDefault="00B7717D" w:rsidP="00593CA0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zapewnia, że korzystanie przez Zamawiającego z dostarczonego systemu nie będzie stanowić naruszenia majątkowych praw autorskich osób trzecich.</w:t>
            </w:r>
          </w:p>
        </w:tc>
        <w:tc>
          <w:tcPr>
            <w:tcW w:w="1512" w:type="dxa"/>
          </w:tcPr>
          <w:p w:rsidR="00B7717D" w:rsidRPr="00600A77" w:rsidRDefault="00B7717D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haseł i logowania</w:t>
            </w: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posiadać system uwierzytelniania, który pozwala użytkownikom na bezpieczne logowanie się i weryfikację tożsamości. Ponadto, system autoryzacji powinien ograniczać dostęp do funkcji i zasobów tylko dla upoważnionych użytkowników.</w:t>
            </w:r>
          </w:p>
          <w:p w:rsidR="00246BF9" w:rsidRPr="00600A77" w:rsidRDefault="00246BF9" w:rsidP="00155C22">
            <w:pPr>
              <w:spacing w:after="160" w:line="276" w:lineRule="auto"/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Logowanie do systemu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powinno być zabezpieczone w taki sposób aby uniemożliwić enumerację haseł czy loginów użytkowników systemu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Kontrolka służąca do podania loginu nie podpowiada i nie pamięta poprzednio wprowadzanych wartości.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szyfrowania danych</w:t>
            </w: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Wymagany protokół HTTPS z ważnym (aktualnym) certyfikatem. Wszystkie dane przechowywane i przesyłane przez aplikację powinny być zaszyfrowane. Wymagane stosowanie silnego protokołu szyfrowania SSL (min. 2048 bit) TLS (min. 1.2), aby chronić poufne informacje przed przechwyceniem.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Dostęp do kluczy szyfrujących powinny posiadać tylko i wyłącznie uprawnione osoby po stronie  Zamawiającego. Zgoda na dostęp do kluczy jest wydawana przez Administratora systemu.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 systemie będzie zaimplementowany algorytm szyfrowania symetryczny/asymetryczny.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456C03" w:rsidRPr="00600A77" w:rsidTr="0060559C">
        <w:trPr>
          <w:trHeight w:val="2236"/>
        </w:trPr>
        <w:tc>
          <w:tcPr>
            <w:tcW w:w="2285" w:type="dxa"/>
            <w:vMerge w:val="restart"/>
          </w:tcPr>
          <w:p w:rsidR="00456C03" w:rsidRPr="00600A77" w:rsidRDefault="00456C03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zasobów</w:t>
            </w:r>
          </w:p>
        </w:tc>
        <w:tc>
          <w:tcPr>
            <w:tcW w:w="1686" w:type="dxa"/>
          </w:tcPr>
          <w:p w:rsidR="00456C03" w:rsidRPr="00043341" w:rsidRDefault="00456C03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456C03" w:rsidRPr="00600A77" w:rsidRDefault="00456C03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Dostęp do zasobu przyznawany na zasadzie listy dostępu (ACL), a uprawnienia użytkowników aplikacji różnicowane co najmniej na poziomie do odczytu/zapisu/usuwania</w:t>
            </w:r>
          </w:p>
          <w:p w:rsidR="00456C03" w:rsidRPr="00600A77" w:rsidRDefault="00456C03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456C03" w:rsidRPr="00600A77" w:rsidRDefault="00456C03" w:rsidP="006055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 przypadku przechowywania danych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użytkowników, należy zapewnić odpowiednie zabezpieczenia, takie jak silne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hashowanie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haseł (min. MD5,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Bcrypt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) lub przechowywanie haseł w bezpiecznych bazach danych i ograniczenie dostępu do tych baz tylko dla niezbędnych pracowników.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2/3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WYMAGANIA BEZPIECZEŃSTWA dot. monitoringu oraz zbierania logów</w:t>
            </w: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mieć włączony mechanizm monitorowania zdarzeń bezpieczeństwa, dostawca powinien prowadzić nieustanny monitoring zdarzeń bezpieczeństwa dotyczący aplikacji i infrastruktury.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2/3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System posiada mechanizm eksportu logów systemowych na wskazany zasób lub zapisuje je we własnym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syslogu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z zapewnieniem dostępu dla systemu SIEM (odczyt); Wykonawca otrzyma informację o strukturze rekordu logu podczas analizy przedwdrożeniowej.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BEZPIECZEŃSTWA dot. podatności</w:t>
            </w: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Aplikacja powinna być odporna na ataki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hakerskie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min. XSS (Cross-Site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Scripting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) oraz SQL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Injection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które mogą prowadzić do wykradzenia danych lub naruszenia bezpieczeństwa systemu. 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Wykonawca powinien zapewnić regularne aktualizacje systemu</w:t>
            </w:r>
            <w:r w:rsidR="00456C03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aby usuwać luki bezpieczeństwa i implementować zabezpieczenia niwelujące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znalezione podatności.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D05B29" w:rsidRPr="00600A77" w:rsidRDefault="00D05B29" w:rsidP="00D05B29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Wykonawca powinien w trybie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awarii krytycznej </w:t>
            </w: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usuwać zgłaszane przez CUI uwagi dotyczące luk bezpieczeństwa danej aplikacji.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Przed wdrożeniem aplikacji, zaleca się przeprowadzenie testów penetracyjnych, które polegają na kontrolowanej próbie ataków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hakerskich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w celu identyfikacji ewentualnych słabości i luk w zabezpieczeniach. Raport z testów penetracyjnych i audytu bezpieczeństwa aplikacji należy dostarczyć do Zamawiającego przed oddaniem systemu do użytku w trybie produkcyjnym.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Testy powinny być wykonywane z uwzględnieniem najlepszych praktyk oraz metodyk takich jak OSSTM, ISSAF oraz OWASP TOP 10.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2/3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Aplikacja powinna posiadać nagłówki bezpieczeństwa, min.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Strict-Transport-Security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Referrer-Policy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X-Content-Type-Options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Permissions-Policy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X-Frame-Options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Content-Security-Policy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, HTTP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Strict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Transport Security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Zarządzanie sesjami użytkowników powinno być unikalne i identyfikowane za pomocą bezpiecznych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tokenów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sesji.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246BF9" w:rsidRPr="00600A77" w:rsidTr="00155C22">
        <w:tc>
          <w:tcPr>
            <w:tcW w:w="2285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6" w:type="dxa"/>
          </w:tcPr>
          <w:p w:rsidR="00246BF9" w:rsidRPr="00043341" w:rsidRDefault="00246BF9" w:rsidP="00043341">
            <w:pPr>
              <w:pStyle w:val="Akapitzlist"/>
              <w:numPr>
                <w:ilvl w:val="0"/>
                <w:numId w:val="26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6" w:type="dxa"/>
          </w:tcPr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Aplikacja powinna być zabezpieczona przed atakami CSRF (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Cross-Site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Request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Forgery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) poprzez stosowanie odpowiednich </w:t>
            </w:r>
            <w:proofErr w:type="spellStart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>tokenów</w:t>
            </w:r>
            <w:proofErr w:type="spellEnd"/>
            <w:r w:rsidRPr="00600A77">
              <w:rPr>
                <w:rFonts w:ascii="Verdana" w:hAnsi="Verdana"/>
                <w:color w:val="000000"/>
                <w:sz w:val="20"/>
                <w:szCs w:val="20"/>
              </w:rPr>
              <w:t xml:space="preserve"> CSRF.</w:t>
            </w:r>
          </w:p>
          <w:p w:rsidR="00246BF9" w:rsidRPr="00600A77" w:rsidRDefault="00246BF9" w:rsidP="00155C2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</w:tbl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9067" w:type="dxa"/>
        <w:tblLook w:val="04A0"/>
      </w:tblPr>
      <w:tblGrid>
        <w:gridCol w:w="2196"/>
        <w:gridCol w:w="1734"/>
        <w:gridCol w:w="3625"/>
        <w:gridCol w:w="1512"/>
      </w:tblGrid>
      <w:tr w:rsidR="00246BF9" w:rsidRPr="00600A77" w:rsidTr="00155C22">
        <w:tc>
          <w:tcPr>
            <w:tcW w:w="2196" w:type="dxa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SYGNATURA WYMAGANIA</w:t>
            </w: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OPIS WYMAGANIA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PRIORYTET</w:t>
            </w:r>
          </w:p>
        </w:tc>
      </w:tr>
      <w:tr w:rsidR="00246BF9" w:rsidRPr="00600A77" w:rsidTr="00155C22">
        <w:tc>
          <w:tcPr>
            <w:tcW w:w="2196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WYMAGANIA W ZAKRESIE PRZETWARZANIA DANYCH OSOBOWYCH</w:t>
            </w: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gdy różne zakresy danych przetwarzane są w oparciu o różne przesłanki legalizujące (podstawy prawne) system jest tego świadomy i potrafi przypisać konkretne działania/żądania/konsekwencje zrealizowanych żądań do konkretnego zakresu danych wg przesłanki legalizującej.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tabs>
                <w:tab w:val="left" w:pos="960"/>
              </w:tabs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gdy różne zakresy danych przetwarzane są w oparciu o różne źródła ich pozyskania (od osoby / z innych źródeł) system jest tego świadomy i potrafi przypisać konkretne działania/żądania/konsekwencje zrealizowanych żądań do konkretnego zakresu danych wg źródła pochodzenia.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W przypadku przetwarzania w systemie danych osobowych (dane osobowe szczególne) system zbiera informację o fakcie wyrażenia przez osobę zgody na przetwarzanie danych osobowych szczególnych lub rejestruje podstawę prawna przetwarzania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musi być opracowany z domyślnymi ustawieniami, które chronią prawa osób, których dane dotyczą i zabezpieczają prywatność.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 w:val="restart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pozwala na zapisywanie informacji o okresie przetwarzania danych 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pozwala na zapisywanie sprzeciwów do przetwarzania danych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umożliwia wyszukanie osoby wg określonego zestawu atrybutów, w szczególności wg unikalnych identyfikatorów jeśli występują w systemie, prezentacja wyników wyszukiwania odbywa się „po </w:t>
            </w: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lastRenderedPageBreak/>
              <w:t>jednym rekordzie” albo tylko w przypadku znalezienia jednego rekordu w wyniku zastosowania kryteriów wyszukiwania.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umożliwia wykonanie kompletnego wydruku lub serii wydruków zawierających komplet danych osobowych wskazanej/wyszukanej osoby w przejrzystej jasnej postaci (raport danych osobowych).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umożliwia wykonanie kompletnego wydruku lub serii wydruków zawierających komplet danych osobowych wskazanej/wyszukanej osoby w przejrzystej jasnej postaci wraz z metadanymi dotyczącymi operacji wykonywanych na wydrukowanych danych.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umożliwia (w wyniku wywołania wbudowanej w niego funkcjonalności) eksportowanie danych dotyczących konkretnej osoby w jednym z następujących formatów danych: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txt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csv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xml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json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(dopuszczalne jest wielokrotne wywoływanie funkcjonalności w celu otrzymania kompletu danych, oczekiwane jest jednokrotne wywołanie skutkujące kompletem danych).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posiada wbudowane funkcjonalności umożliwiające wybiórczą lub kompletną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anonimizację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danych albo  wybiórcze lub kompletne usunięcie danych, które nie powinny być już przetwarzane.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System posiada wbudowane funkcjonalności umożliwiające wybiórczą lub kompletną </w:t>
            </w:r>
            <w:proofErr w:type="spellStart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pseudonimizację</w:t>
            </w:r>
            <w:proofErr w:type="spellEnd"/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danych wraz z możliwością uprawnionego odwrócenia.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 w:cs="Calibri"/>
                <w:sz w:val="20"/>
                <w:szCs w:val="20"/>
                <w:lang w:eastAsia="pl-PL"/>
              </w:rPr>
              <w:t>System posiada „archiwum wewnętrzne” do którego dane mogą być przenoszone (ręcznie lub automatycznie) po zadanym okresie przetwarzania lub po spełnieniu innych warunków.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Usługa Podmiotu Świadczącego Usługi Chmurowe zapewnia Klientowi możliwość wyboru sposobu wykorzystania usługi polegającego na przechowywaniu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i przetwarzaniu jego danych w całości na terenie EOG, co pozwala na uniknięcie stosowania przepisów RODO regulujących przekazywanie danych osobowych poza EOG.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Wykorzystywana przez System chmura obliczeniowa musi zapewniać zgodność z zapisami RODO w kwestii przetwarzania danych oraz wymagane jest, aby dane były przechowywane na terenie EOG z możliwością kontroli tego procesu 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przekazuje Klientowi informacje o regionie i kraju, w którym dane są przechowywane i przetwarzane, przez Podmiot Świadczący Usługi Chmurowe lub w jego imieniu.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przekazuje właściwemu organowi nadzorczemu dokładny adres odpowiednich obiektów (jeżeli takie informacje są wymagane przez organ), w celu wywiązania się z obowiązków wynikających z przepisów o ochronie danych.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Podmiot Świadczący Usługi Chmurowe przeprowadza okresowe przeglądy bezpieczeństwa sieci oraz adekwatności programu bezpieczeństwa informacji.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spełnia pod względem prawnym wymagania przepisów o ochronie danych osobowych (krajowych, jak i Unii Europejskiej), w szczególności: 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4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również RODO,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4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ustawy z dnia 10 maja 2018r. o ochronie danych osobowych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u.o.d.o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)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ustawy z dnia 17 lutego 2005 r. o informatyzacji działalności podmiotów realizujących zadania publiczne (tekst jednolity Dz. U. z 2014 r. poz. 1114) oraz wydane do niej rozporządzenie Rady Ministrów z dnia 12 kwietnia 2012 r. w sprawie Krajowych Ram Interoperacyjności, minimalnych wymagań dla rejestrów publicznych i wymiany informacji w postaci elektronicznej oraz minimalnych wymagań dla systemów teleinformatycznych (tekst jednolity Dz. U. z 2016 r. poz. 113)."</w:t>
            </w: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zapewnić, że informacje przetwarzane w chmurze obliczeniowej są szyfrowane zgodnie z poniższymi zasadami: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Zamawiający posiada dostęp do szczegółowych i aktualnych instrukcji konfiguracji usług chmury obliczeniowej oraz metod weryfikacji poprawności ich konfiguracji i działania, w szczególności w zakresie szyfrowania przetwarzanych informacji.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Przetwarzanie danych będzie odbywało się w poprawnej konfiguracji usług chmury obliczeniowej, zgodnie z wytycznymi dostawcy usług chmury obliczeniowej, w tym pod kątem stosowania szyfrowania przetwarzanych informacji;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informacje prawnie chronione przetwarzane w chmurze obliczeniowej są szyfrowane zarówno „data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at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rest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” jak i „data in transit” na zasadach co najmniej określonych poniżej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Informacje są szyfrowane kluczami generowanymi przez Zamawiającego lub przez niego zarządzane, chyba że z oszacowania ryzyka wynika, wyniknie iż dopuszczalne lub wskazane jest używanie kluczy szyfrujących generowanych lub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zarządzanych przez dostawcę usług chmury obliczeniowej.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W przypadku, gdy z szacowania ryzyka wynika konieczność utrzymywania i zarządzania kluczami szyfrującymi przy wykorzystaniu sprzętowych rozwiązań (HSM9 ), to HSM mogą być udostępniane przez dostawcę usług chmury obliczeniowej, przy uwzględnieniu tego elementu w szacowaniu ryzyka. HSM powinny spełniać wymagania minimum FIPS10 140-2 Level 2 lub równoważne. 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Proces zarządzania kluczami szyfrującymi powinien uwzględniać przechowywanie w ramach własnej infrastruktury kopii kluczy szyfrujących, które zostały wygenerowane lub są zarządzane przez dostawcę usług chmury obliczeniowej, chyba że z oszacowania ryzyka wynika uzasadniony brak takiej potrzeby.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zabezpiecza logi przed nieautoryzowanym dostępem, modyfikacją lub usunięciem przez okres zgodny z ustalonymi zasadami bezpieczeństwa.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Jeżeli dane osobowe przetwarzane są bezpośrednio w systemie: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dane w spoczynku (z ang. data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at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rest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) są szyfrowane zgodnie z aktualnymi standardami i zgodnie z wymogami stawianymi w art. 32 ust. 1 RODO (min. AES-256),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dane w przesyle (z ang. data-in-transfer) w zakresie w jakim transfer odbywa się poza infrastrukturę informatyczną administratora – szyfrowane są zgodnie z aktualnymi standardami i zgodnie z wymogami stawianymi w art. 32 ust. 1 RODO (min. AES-256).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umożliwia stosowanie metod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pseudonimizację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danych – szczegółowe metody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pseudoanonimizacii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zostaną określone w analizie przedwdrożeniowej.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Jeżeli dane osobowe przechowywane są poza systemem system umożliwia (z uwzględnieniem rynkowych standardów) szyfrowanie danych w przesyle (data-in-transfer) pomiędzy systemem a źródłem (np. bazą danych) z którego są one pobierane i do którego są one zapisywane.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ma zdolność do ciągłego zapewnienia: poufności, integralności, dostępności i odporności systemów i usług przetwarzania.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ma zdolność do szybkiego przywrócenia dostępności danych osobowych i dostępu do nich w razie incydentu fizycznego lub technicznego (w szczególności przez automatyczne backupy).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zapewnia rozliczalność dokonywanych w nim operacji na danych, w szczególności system rejestruje (np. w logach) wykonywanie operacji na danych osobowych i umożliwia wskazanie przypisanie operacji do konkretnego konta w systemie.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wyodrębniać poszczególne kategorie danych (np. imię i nazwisko, adres, PESEL) i umożliwiać dostosowanie do których kategorii danych ma dostęp dany użytkownik.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powinien umożliwiać tworzenie grup użytkowników (np. pracownicy, kierownicy, dyrektorzy) w stosunku do których można dostosować do których kategorii danych grupa ma dostęp.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powinien mieć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 xml:space="preserve">zmapowane wszystkie procesy, w ramach których dochodzi do przetwarzania danych osobowych w systemie. 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</w:tr>
      <w:tr w:rsidR="00246BF9" w:rsidRPr="00600A77" w:rsidTr="00155C22">
        <w:tc>
          <w:tcPr>
            <w:tcW w:w="2196" w:type="dxa"/>
            <w:vMerge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34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7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2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Mapa procesów systemu powinna wskazywać co najmniej przepływ kategorii danych (np. imię nazwisko, adres, PESEL) w danym procesie.</w:t>
            </w:r>
          </w:p>
          <w:p w:rsidR="00246BF9" w:rsidRPr="00600A77" w:rsidRDefault="00246BF9" w:rsidP="00155C22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12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A571CA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</w:tbl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9606" w:type="dxa"/>
        <w:tblLayout w:type="fixed"/>
        <w:tblLook w:val="04A0"/>
      </w:tblPr>
      <w:tblGrid>
        <w:gridCol w:w="2048"/>
        <w:gridCol w:w="1462"/>
        <w:gridCol w:w="4111"/>
        <w:gridCol w:w="1985"/>
      </w:tblGrid>
      <w:tr w:rsidR="00246BF9" w:rsidRPr="00600A77" w:rsidTr="00155C22">
        <w:tc>
          <w:tcPr>
            <w:tcW w:w="2048" w:type="dxa"/>
            <w:vMerge w:val="restart"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>OPCJONALNE WYMAGANIA W ZAKRESIE PRZETWARZANIA DANYCH OSOBOWYCH</w:t>
            </w: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246BF9" w:rsidRPr="00600A77" w:rsidRDefault="00246BF9" w:rsidP="00155C22">
            <w:pPr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Raporty i wydruki generowane przez system w zakresie ochrony danych osobowych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wykonywania operacji na rekordach zawierających dane osobowe ze wskazaniem użytkownika i czynności, która została przeprowadzona.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rekordów danych przetwarzanych na podstawie zgody.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rekordów danych, dla których wycofano zgodę na przetwarzanie danych.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generuje raporty dla rekordów danych, których czas retencji minął.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Sysstem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generuje raporty dotyczące sprzeciwu wobec przetwarzania danych osobowych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generuje raporty dotyczące żądań podmiotów danych praw art. 1615-18 oraz 20-22,  albo ograniczenie UODO z art. 58 ust.2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lit.f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RODO.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generuje raporty o przekazaniu informacji, o których mowa w pkt 6 dla potrzeb rozliczalności. 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wykonuje kompletny wydruk lub serie wydruków zawierających komplet danych osobowych wskazanej/wyszukanej osoby w przejrzystej jasnej postaci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wraz z metadanymi dotyczącymi operacji wykonywanych na wydrukowanych danych.</w:t>
            </w:r>
          </w:p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OBLIGATORYJNOŚĆ OKREŚLA IOD KLIENTA, DLA KTÓREGO SYSTEM JEST ZAMAWIANY</w:t>
            </w:r>
          </w:p>
        </w:tc>
      </w:tr>
      <w:tr w:rsidR="00246BF9" w:rsidRPr="00600A77" w:rsidTr="00155C22">
        <w:tc>
          <w:tcPr>
            <w:tcW w:w="2048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246BF9" w:rsidRPr="00600A77" w:rsidRDefault="00246BF9" w:rsidP="00155C22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Retencja danych osobowych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ustawienie retencji danych dla danych przetwarzanych w systemie.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oznaczenie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, oflagowanie) rekordów danych dotyczących osób, których czas retencji minął. Oznaczanie skutkuje automatycznym (realizowanym przez system) wykluczeniem oznaczonych danych ze „zwykłych operacji”.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powiadamia użytkownika o upływie czasu retencji danych oraz umożliwia usunięcie danych, których czas retencji minął.</w:t>
            </w:r>
          </w:p>
        </w:tc>
        <w:tc>
          <w:tcPr>
            <w:tcW w:w="198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46BF9" w:rsidRPr="00600A77" w:rsidTr="00155C22">
        <w:tc>
          <w:tcPr>
            <w:tcW w:w="2048" w:type="dxa"/>
            <w:vMerge/>
          </w:tcPr>
          <w:p w:rsidR="00246BF9" w:rsidRPr="00600A77" w:rsidRDefault="00246BF9" w:rsidP="00155C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62" w:type="dxa"/>
          </w:tcPr>
          <w:p w:rsidR="00246BF9" w:rsidRPr="00600A77" w:rsidRDefault="00246BF9" w:rsidP="00155C22">
            <w:pPr>
              <w:pStyle w:val="Akapitzlist"/>
              <w:numPr>
                <w:ilvl w:val="0"/>
                <w:numId w:val="18"/>
              </w:numPr>
              <w:ind w:left="220" w:hanging="141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</w:tcPr>
          <w:p w:rsidR="00246BF9" w:rsidRPr="00600A77" w:rsidRDefault="00246BF9" w:rsidP="00155C2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pl-PL"/>
              </w:rPr>
              <w:t>Wymagania funkcjonalne związane z realizacją w systemie praw osoby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00A77">
              <w:rPr>
                <w:rFonts w:ascii="Verdana" w:hAnsi="Verdana"/>
                <w:b/>
                <w:bCs/>
                <w:sz w:val="20"/>
                <w:szCs w:val="20"/>
              </w:rPr>
              <w:t xml:space="preserve">fizycznej, </w:t>
            </w:r>
            <w:r w:rsidRPr="00600A77">
              <w:rPr>
                <w:rFonts w:ascii="Verdana" w:hAnsi="Verdana"/>
                <w:sz w:val="20"/>
                <w:szCs w:val="20"/>
              </w:rPr>
              <w:t xml:space="preserve">której dane dotyczą, o których mowa w art. 7 oraz art. 15 do art. 22 RODO w szczególności. rejestracji zgody i cofnięcia zgody, do usunięcia danych, sprzeciwu, sprostowania, ograniczenia dostępu do danych, informacji o przetwarzaniu, kopii danych)  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oznaczenie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oflagowanie) rekordów danych dotyczących osób, których przetwarzanie odbywa się na podstawie zgody. 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W przypadku cofnięcia zgody na przetwarzanie danych takie oznaczanie skutkuje powiadomieniem użytkownika, że dane można przechowywać, ale nie należy ich tymczasowo używać w „zwykłych operacjach”.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W przypadku cofnięcia zgody na przetwarzanie danych takie oznaczanie skutkuje automatycznym (realizowanym przez system) wykluczeniem oznaczonych danych ze „zwykłych operacji”.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oznaczanie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oflagowywanie) rekordów danych dotyczących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>osób które zgłosiły żądania w zakresie realizacji swoich praw art. 15-18 RODO oraz art. 20-22 RODO albo ograniczenia UODO z art. 58.2.f. (takie oznaczanie skutkuje powiadomieniem użytkownika, że dane można przechowywać, ale nie należy ich tymczasowo używać w „zwykłych operacjach”).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oznaczanie (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tagowanie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oflagowywanie) rekordów danych dotyczących osób które zgłosiły żądania w zakresie realizacji swoich praw art. 15-18 RODO oraz art. 20-22 RODO  albo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ograniczeniae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 UODO z art. 58 ust. 2 lit. f RODO; takie oznaczanie skutkuje automatycznym (realizowanym przez system) wykluczeniem oznaczonych danych ze „zwykłych operacji”.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przechowuje historię implementowanych w nim żądań osób (kogo dotyczyło, w jakim okresie występowało, jakiego typu żądanie). Wymóg jest spełniony również jeżeli istnieje inny centralny system o takiej funkcjonalności dla wielu systemów/aplikacji.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Jeżeli system przetwarza dane osobowe w różnych celach to jest tego świadomy i implementuje lub umożliwia oznaczanie danych w oparciu o konkretne cele przetwarzania; takie oznaczenie ma swoje logiczne konsekwencje dla możliwych czynności przetwarzania oraz realizacji praw osób.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System umożliwia wyszukanie osoby wg określonego zestawu atrybutów, w szczególności wg unikalnych identyfikatorów jeśli występują w systemie; prezentacja wyników wyszukiwania odbywa się „po jednym rekordzie” albo tylko w przypadku znalezienia jednego rekordu w wyniku zastosowania kryteriów wyszukiwania.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 xml:space="preserve">System umożliwia (w wyniku </w:t>
            </w:r>
            <w:r w:rsidRPr="00600A77">
              <w:rPr>
                <w:rFonts w:ascii="Verdana" w:hAnsi="Verdana"/>
                <w:sz w:val="20"/>
                <w:szCs w:val="20"/>
              </w:rPr>
              <w:lastRenderedPageBreak/>
              <w:t xml:space="preserve">wywołania wbudowanej w niego funkcjonalności) eksportowanie danych dotyczących konkretnej osoby w jednym z następujących formatów danych: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txt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csv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xml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600A77">
              <w:rPr>
                <w:rFonts w:ascii="Verdana" w:hAnsi="Verdana"/>
                <w:sz w:val="20"/>
                <w:szCs w:val="20"/>
              </w:rPr>
              <w:t>json</w:t>
            </w:r>
            <w:proofErr w:type="spellEnd"/>
            <w:r w:rsidRPr="00600A77">
              <w:rPr>
                <w:rFonts w:ascii="Verdana" w:hAnsi="Verdana"/>
                <w:sz w:val="20"/>
                <w:szCs w:val="20"/>
              </w:rPr>
              <w:t>. Dopuszczalne jest wielokrotne wywoływanie funkcjonalności w celu otrzymania kompletu danych, oczekiwane jest jednokrotne wywołanie skutkujące kompletem danych.</w:t>
            </w:r>
          </w:p>
          <w:p w:rsidR="00246BF9" w:rsidRPr="00600A77" w:rsidRDefault="00246BF9" w:rsidP="00155C22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600A77">
              <w:rPr>
                <w:rFonts w:ascii="Verdana" w:hAnsi="Verdana"/>
                <w:sz w:val="20"/>
                <w:szCs w:val="20"/>
              </w:rPr>
              <w:t>Lista „zwykłych operacji”, tj. tych w których nie można tymczasowo używać danych z rekordów oznaczonych  (z powodu zgłoszenia żądania w zakresie realizacji praw osób albo ograniczenia UODO z art. 58 ust. 2 lit. f RODO)  jest konfigurowalna dla systemu i występującego żądania/żądań.</w:t>
            </w:r>
          </w:p>
        </w:tc>
        <w:tc>
          <w:tcPr>
            <w:tcW w:w="1985" w:type="dxa"/>
          </w:tcPr>
          <w:p w:rsidR="00246BF9" w:rsidRPr="00600A77" w:rsidRDefault="00246BF9" w:rsidP="00155C2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46BF9" w:rsidRPr="00600A77" w:rsidRDefault="00246BF9" w:rsidP="00246BF9">
      <w:pPr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jc w:val="center"/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jc w:val="center"/>
        <w:rPr>
          <w:rFonts w:ascii="Verdana" w:hAnsi="Verdana"/>
          <w:sz w:val="20"/>
          <w:szCs w:val="20"/>
        </w:rPr>
      </w:pPr>
    </w:p>
    <w:p w:rsidR="00246BF9" w:rsidRPr="00600A77" w:rsidRDefault="00246BF9" w:rsidP="00246BF9">
      <w:pPr>
        <w:jc w:val="center"/>
        <w:rPr>
          <w:rFonts w:ascii="Verdana" w:hAnsi="Verdana"/>
          <w:sz w:val="20"/>
          <w:szCs w:val="20"/>
        </w:rPr>
      </w:pPr>
    </w:p>
    <w:p w:rsidR="006F1C46" w:rsidRPr="00600A77" w:rsidRDefault="006F1C46" w:rsidP="00962710">
      <w:pPr>
        <w:jc w:val="center"/>
        <w:rPr>
          <w:rFonts w:ascii="Verdana" w:hAnsi="Verdana"/>
          <w:sz w:val="20"/>
          <w:szCs w:val="20"/>
        </w:rPr>
      </w:pPr>
    </w:p>
    <w:sectPr w:rsidR="006F1C46" w:rsidRPr="00600A77" w:rsidSect="005B7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20A" w:rsidRDefault="005E320A" w:rsidP="00863E67">
      <w:pPr>
        <w:spacing w:after="0" w:line="240" w:lineRule="auto"/>
      </w:pPr>
      <w:r>
        <w:separator/>
      </w:r>
    </w:p>
  </w:endnote>
  <w:endnote w:type="continuationSeparator" w:id="0">
    <w:p w:rsidR="005E320A" w:rsidRDefault="005E320A" w:rsidP="00863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20A" w:rsidRDefault="005E320A" w:rsidP="00863E67">
      <w:pPr>
        <w:spacing w:after="0" w:line="240" w:lineRule="auto"/>
      </w:pPr>
      <w:r>
        <w:separator/>
      </w:r>
    </w:p>
  </w:footnote>
  <w:footnote w:type="continuationSeparator" w:id="0">
    <w:p w:rsidR="005E320A" w:rsidRDefault="005E320A" w:rsidP="00863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63D"/>
    <w:multiLevelType w:val="hybridMultilevel"/>
    <w:tmpl w:val="7D047D2E"/>
    <w:lvl w:ilvl="0" w:tplc="B664A538">
      <w:start w:val="1"/>
      <w:numFmt w:val="decimal"/>
      <w:lvlText w:val="WB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69F3"/>
    <w:multiLevelType w:val="hybridMultilevel"/>
    <w:tmpl w:val="B930ED4E"/>
    <w:lvl w:ilvl="0" w:tplc="67C434C8">
      <w:start w:val="1"/>
      <w:numFmt w:val="decimal"/>
      <w:lvlText w:val="WT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27563"/>
    <w:multiLevelType w:val="hybridMultilevel"/>
    <w:tmpl w:val="521C80C0"/>
    <w:lvl w:ilvl="0" w:tplc="C738330C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248A08B8"/>
    <w:multiLevelType w:val="hybridMultilevel"/>
    <w:tmpl w:val="BEA8E1CC"/>
    <w:lvl w:ilvl="0" w:tplc="9C54C874">
      <w:start w:val="1"/>
      <w:numFmt w:val="decimal"/>
      <w:lvlText w:val="WDOOp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E184E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AF6853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BA4E28"/>
    <w:multiLevelType w:val="hybridMultilevel"/>
    <w:tmpl w:val="8714A59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64337"/>
    <w:multiLevelType w:val="hybridMultilevel"/>
    <w:tmpl w:val="C4CEAA0A"/>
    <w:lvl w:ilvl="0" w:tplc="B664A538">
      <w:start w:val="1"/>
      <w:numFmt w:val="decimal"/>
      <w:lvlText w:val="WB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447841"/>
    <w:multiLevelType w:val="hybridMultilevel"/>
    <w:tmpl w:val="3FECC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7002F5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FD34F4"/>
    <w:multiLevelType w:val="hybridMultilevel"/>
    <w:tmpl w:val="E2D235C8"/>
    <w:lvl w:ilvl="0" w:tplc="67C434C8">
      <w:start w:val="1"/>
      <w:numFmt w:val="decimal"/>
      <w:lvlText w:val="WT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F0277B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7B5BA1"/>
    <w:multiLevelType w:val="hybridMultilevel"/>
    <w:tmpl w:val="A4FAB95C"/>
    <w:lvl w:ilvl="0" w:tplc="B664A538">
      <w:start w:val="1"/>
      <w:numFmt w:val="decimal"/>
      <w:lvlText w:val="WB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51108"/>
    <w:multiLevelType w:val="hybridMultilevel"/>
    <w:tmpl w:val="D8941E0C"/>
    <w:lvl w:ilvl="0" w:tplc="1B2E2C28">
      <w:start w:val="1"/>
      <w:numFmt w:val="decimal"/>
      <w:lvlText w:val="WDO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430A4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6095E97"/>
    <w:multiLevelType w:val="hybridMultilevel"/>
    <w:tmpl w:val="091CD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B57B98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7101811"/>
    <w:multiLevelType w:val="hybridMultilevel"/>
    <w:tmpl w:val="E2D235C8"/>
    <w:lvl w:ilvl="0" w:tplc="67C434C8">
      <w:start w:val="1"/>
      <w:numFmt w:val="decimal"/>
      <w:lvlText w:val="WT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840B2"/>
    <w:multiLevelType w:val="multilevel"/>
    <w:tmpl w:val="CAC0C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1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48" w:hanging="1800"/>
      </w:pPr>
      <w:rPr>
        <w:rFonts w:hint="default"/>
      </w:rPr>
    </w:lvl>
  </w:abstractNum>
  <w:abstractNum w:abstractNumId="19">
    <w:nsid w:val="694543A3"/>
    <w:multiLevelType w:val="hybridMultilevel"/>
    <w:tmpl w:val="091CD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F75501"/>
    <w:multiLevelType w:val="hybridMultilevel"/>
    <w:tmpl w:val="672C7C60"/>
    <w:lvl w:ilvl="0" w:tplc="B664A538">
      <w:start w:val="1"/>
      <w:numFmt w:val="decimal"/>
      <w:lvlText w:val="WB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500552"/>
    <w:multiLevelType w:val="hybridMultilevel"/>
    <w:tmpl w:val="A350D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6A6AAF"/>
    <w:multiLevelType w:val="hybridMultilevel"/>
    <w:tmpl w:val="FC4C9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2824700"/>
    <w:multiLevelType w:val="hybridMultilevel"/>
    <w:tmpl w:val="672C7C60"/>
    <w:lvl w:ilvl="0" w:tplc="B664A538">
      <w:start w:val="1"/>
      <w:numFmt w:val="decimal"/>
      <w:lvlText w:val="WB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5D6EA3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EE2983"/>
    <w:multiLevelType w:val="hybridMultilevel"/>
    <w:tmpl w:val="FC4C95B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1"/>
  </w:num>
  <w:num w:numId="3">
    <w:abstractNumId w:val="2"/>
  </w:num>
  <w:num w:numId="4">
    <w:abstractNumId w:val="22"/>
  </w:num>
  <w:num w:numId="5">
    <w:abstractNumId w:val="11"/>
  </w:num>
  <w:num w:numId="6">
    <w:abstractNumId w:val="5"/>
  </w:num>
  <w:num w:numId="7">
    <w:abstractNumId w:val="6"/>
  </w:num>
  <w:num w:numId="8">
    <w:abstractNumId w:val="24"/>
  </w:num>
  <w:num w:numId="9">
    <w:abstractNumId w:val="9"/>
  </w:num>
  <w:num w:numId="10">
    <w:abstractNumId w:val="18"/>
  </w:num>
  <w:num w:numId="11">
    <w:abstractNumId w:val="16"/>
  </w:num>
  <w:num w:numId="12">
    <w:abstractNumId w:val="25"/>
  </w:num>
  <w:num w:numId="13">
    <w:abstractNumId w:val="4"/>
  </w:num>
  <w:num w:numId="14">
    <w:abstractNumId w:val="14"/>
  </w:num>
  <w:num w:numId="15">
    <w:abstractNumId w:val="15"/>
  </w:num>
  <w:num w:numId="16">
    <w:abstractNumId w:val="19"/>
  </w:num>
  <w:num w:numId="17">
    <w:abstractNumId w:val="13"/>
  </w:num>
  <w:num w:numId="18">
    <w:abstractNumId w:val="3"/>
  </w:num>
  <w:num w:numId="19">
    <w:abstractNumId w:val="1"/>
  </w:num>
  <w:num w:numId="20">
    <w:abstractNumId w:val="17"/>
  </w:num>
  <w:num w:numId="21">
    <w:abstractNumId w:val="0"/>
  </w:num>
  <w:num w:numId="22">
    <w:abstractNumId w:val="23"/>
  </w:num>
  <w:num w:numId="23">
    <w:abstractNumId w:val="10"/>
  </w:num>
  <w:num w:numId="24">
    <w:abstractNumId w:val="7"/>
  </w:num>
  <w:num w:numId="25">
    <w:abstractNumId w:val="12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611"/>
    <w:rsid w:val="00001E1E"/>
    <w:rsid w:val="00013C29"/>
    <w:rsid w:val="000177A1"/>
    <w:rsid w:val="000257AC"/>
    <w:rsid w:val="000414C2"/>
    <w:rsid w:val="00041668"/>
    <w:rsid w:val="00043341"/>
    <w:rsid w:val="00046998"/>
    <w:rsid w:val="00067C6E"/>
    <w:rsid w:val="000730AF"/>
    <w:rsid w:val="000805A7"/>
    <w:rsid w:val="00094B9D"/>
    <w:rsid w:val="000976D4"/>
    <w:rsid w:val="000C7638"/>
    <w:rsid w:val="000D53E1"/>
    <w:rsid w:val="000F12C9"/>
    <w:rsid w:val="001051AD"/>
    <w:rsid w:val="00106DB6"/>
    <w:rsid w:val="001245A0"/>
    <w:rsid w:val="00127251"/>
    <w:rsid w:val="00131F77"/>
    <w:rsid w:val="0014260B"/>
    <w:rsid w:val="00145877"/>
    <w:rsid w:val="00150ACD"/>
    <w:rsid w:val="00161CFB"/>
    <w:rsid w:val="00175E3E"/>
    <w:rsid w:val="001874FB"/>
    <w:rsid w:val="001B4F52"/>
    <w:rsid w:val="001F00B6"/>
    <w:rsid w:val="00231B9E"/>
    <w:rsid w:val="00233647"/>
    <w:rsid w:val="00246BF9"/>
    <w:rsid w:val="00261D18"/>
    <w:rsid w:val="002749C9"/>
    <w:rsid w:val="002946F7"/>
    <w:rsid w:val="002B4DB5"/>
    <w:rsid w:val="002C642A"/>
    <w:rsid w:val="002D546A"/>
    <w:rsid w:val="002D7D44"/>
    <w:rsid w:val="002E3658"/>
    <w:rsid w:val="002E78C4"/>
    <w:rsid w:val="002F7903"/>
    <w:rsid w:val="00301D2A"/>
    <w:rsid w:val="003024EC"/>
    <w:rsid w:val="00310623"/>
    <w:rsid w:val="00315509"/>
    <w:rsid w:val="003222F9"/>
    <w:rsid w:val="003548B2"/>
    <w:rsid w:val="003677D0"/>
    <w:rsid w:val="0037548D"/>
    <w:rsid w:val="0038155C"/>
    <w:rsid w:val="003842F4"/>
    <w:rsid w:val="00384A63"/>
    <w:rsid w:val="003946F2"/>
    <w:rsid w:val="003A172E"/>
    <w:rsid w:val="003A1C5A"/>
    <w:rsid w:val="003A4EAE"/>
    <w:rsid w:val="003B3B03"/>
    <w:rsid w:val="003C0255"/>
    <w:rsid w:val="003F09EF"/>
    <w:rsid w:val="003F7FC3"/>
    <w:rsid w:val="00404CED"/>
    <w:rsid w:val="00446945"/>
    <w:rsid w:val="00456C03"/>
    <w:rsid w:val="0046517A"/>
    <w:rsid w:val="00481164"/>
    <w:rsid w:val="004B6836"/>
    <w:rsid w:val="004C18A9"/>
    <w:rsid w:val="004D5F2F"/>
    <w:rsid w:val="004E7E05"/>
    <w:rsid w:val="005136E3"/>
    <w:rsid w:val="0052523D"/>
    <w:rsid w:val="00581719"/>
    <w:rsid w:val="005940F2"/>
    <w:rsid w:val="005A2740"/>
    <w:rsid w:val="005B2E30"/>
    <w:rsid w:val="005B773D"/>
    <w:rsid w:val="005D0739"/>
    <w:rsid w:val="005D6EE2"/>
    <w:rsid w:val="005E320A"/>
    <w:rsid w:val="00600A77"/>
    <w:rsid w:val="00606009"/>
    <w:rsid w:val="00610667"/>
    <w:rsid w:val="00621EBD"/>
    <w:rsid w:val="006331F4"/>
    <w:rsid w:val="00647AA4"/>
    <w:rsid w:val="0065011A"/>
    <w:rsid w:val="00653088"/>
    <w:rsid w:val="0066418E"/>
    <w:rsid w:val="0067091F"/>
    <w:rsid w:val="00683B88"/>
    <w:rsid w:val="0068524B"/>
    <w:rsid w:val="00685C9D"/>
    <w:rsid w:val="006A1A44"/>
    <w:rsid w:val="006A49CE"/>
    <w:rsid w:val="006A588B"/>
    <w:rsid w:val="006A5F41"/>
    <w:rsid w:val="006B0FED"/>
    <w:rsid w:val="006B5174"/>
    <w:rsid w:val="006D7828"/>
    <w:rsid w:val="006F1C46"/>
    <w:rsid w:val="0070556B"/>
    <w:rsid w:val="007268EE"/>
    <w:rsid w:val="00740995"/>
    <w:rsid w:val="00743AFF"/>
    <w:rsid w:val="00750081"/>
    <w:rsid w:val="007961BF"/>
    <w:rsid w:val="00796BA4"/>
    <w:rsid w:val="007A413B"/>
    <w:rsid w:val="007A4C06"/>
    <w:rsid w:val="007B4394"/>
    <w:rsid w:val="007C57EB"/>
    <w:rsid w:val="007D5B78"/>
    <w:rsid w:val="007E0D53"/>
    <w:rsid w:val="007E4C6F"/>
    <w:rsid w:val="007F2C76"/>
    <w:rsid w:val="007F3221"/>
    <w:rsid w:val="007F32CC"/>
    <w:rsid w:val="007F4562"/>
    <w:rsid w:val="00804776"/>
    <w:rsid w:val="008065FC"/>
    <w:rsid w:val="00806C6C"/>
    <w:rsid w:val="00807588"/>
    <w:rsid w:val="00825B87"/>
    <w:rsid w:val="00830EBB"/>
    <w:rsid w:val="008600AC"/>
    <w:rsid w:val="00863E67"/>
    <w:rsid w:val="008708D1"/>
    <w:rsid w:val="00886ED1"/>
    <w:rsid w:val="00896BED"/>
    <w:rsid w:val="008A5898"/>
    <w:rsid w:val="008A6152"/>
    <w:rsid w:val="008A6695"/>
    <w:rsid w:val="008B3D57"/>
    <w:rsid w:val="008B655C"/>
    <w:rsid w:val="008B67B9"/>
    <w:rsid w:val="008C3AE9"/>
    <w:rsid w:val="00901623"/>
    <w:rsid w:val="009018B7"/>
    <w:rsid w:val="00904A9C"/>
    <w:rsid w:val="0090696B"/>
    <w:rsid w:val="00916E20"/>
    <w:rsid w:val="009300ED"/>
    <w:rsid w:val="009356B5"/>
    <w:rsid w:val="009540DA"/>
    <w:rsid w:val="009610D2"/>
    <w:rsid w:val="009620CE"/>
    <w:rsid w:val="00962710"/>
    <w:rsid w:val="00977CCC"/>
    <w:rsid w:val="00981397"/>
    <w:rsid w:val="00983450"/>
    <w:rsid w:val="009929F8"/>
    <w:rsid w:val="00997E9F"/>
    <w:rsid w:val="009A147B"/>
    <w:rsid w:val="009B60FF"/>
    <w:rsid w:val="009D0D8F"/>
    <w:rsid w:val="00A1541D"/>
    <w:rsid w:val="00A3339E"/>
    <w:rsid w:val="00A61776"/>
    <w:rsid w:val="00AA3EF7"/>
    <w:rsid w:val="00AC2194"/>
    <w:rsid w:val="00AC66D3"/>
    <w:rsid w:val="00AC72FD"/>
    <w:rsid w:val="00B03B33"/>
    <w:rsid w:val="00B11FD1"/>
    <w:rsid w:val="00B16AD5"/>
    <w:rsid w:val="00B220A1"/>
    <w:rsid w:val="00B22EE9"/>
    <w:rsid w:val="00B25CBB"/>
    <w:rsid w:val="00B27E7A"/>
    <w:rsid w:val="00B30C45"/>
    <w:rsid w:val="00B34C7F"/>
    <w:rsid w:val="00B5684E"/>
    <w:rsid w:val="00B7717D"/>
    <w:rsid w:val="00B8279A"/>
    <w:rsid w:val="00B842FB"/>
    <w:rsid w:val="00B90F06"/>
    <w:rsid w:val="00B974FA"/>
    <w:rsid w:val="00BA5B77"/>
    <w:rsid w:val="00BC5E49"/>
    <w:rsid w:val="00BE45E5"/>
    <w:rsid w:val="00C06A0B"/>
    <w:rsid w:val="00C24C4D"/>
    <w:rsid w:val="00C41A70"/>
    <w:rsid w:val="00C5211D"/>
    <w:rsid w:val="00C53880"/>
    <w:rsid w:val="00C61611"/>
    <w:rsid w:val="00C63598"/>
    <w:rsid w:val="00C651F9"/>
    <w:rsid w:val="00C82137"/>
    <w:rsid w:val="00C85395"/>
    <w:rsid w:val="00C85504"/>
    <w:rsid w:val="00CA3893"/>
    <w:rsid w:val="00CB5021"/>
    <w:rsid w:val="00CE04FD"/>
    <w:rsid w:val="00CE4458"/>
    <w:rsid w:val="00CE7932"/>
    <w:rsid w:val="00CF54B6"/>
    <w:rsid w:val="00D05B29"/>
    <w:rsid w:val="00D11557"/>
    <w:rsid w:val="00D13F6F"/>
    <w:rsid w:val="00D2603C"/>
    <w:rsid w:val="00D40D67"/>
    <w:rsid w:val="00D448F0"/>
    <w:rsid w:val="00D458B4"/>
    <w:rsid w:val="00D70A59"/>
    <w:rsid w:val="00D9764B"/>
    <w:rsid w:val="00DB42C2"/>
    <w:rsid w:val="00DB597E"/>
    <w:rsid w:val="00DD320F"/>
    <w:rsid w:val="00DD6260"/>
    <w:rsid w:val="00E069B7"/>
    <w:rsid w:val="00E34536"/>
    <w:rsid w:val="00E47B36"/>
    <w:rsid w:val="00E52520"/>
    <w:rsid w:val="00E61A47"/>
    <w:rsid w:val="00E63042"/>
    <w:rsid w:val="00E81546"/>
    <w:rsid w:val="00EA3E93"/>
    <w:rsid w:val="00EC025E"/>
    <w:rsid w:val="00EC0336"/>
    <w:rsid w:val="00EC1081"/>
    <w:rsid w:val="00EC1F03"/>
    <w:rsid w:val="00EC50F6"/>
    <w:rsid w:val="00EC59EB"/>
    <w:rsid w:val="00EE3846"/>
    <w:rsid w:val="00EF3068"/>
    <w:rsid w:val="00F00CE8"/>
    <w:rsid w:val="00F03293"/>
    <w:rsid w:val="00F06BCC"/>
    <w:rsid w:val="00F12917"/>
    <w:rsid w:val="00F208CC"/>
    <w:rsid w:val="00F258F9"/>
    <w:rsid w:val="00F34548"/>
    <w:rsid w:val="00F640EB"/>
    <w:rsid w:val="00F736EE"/>
    <w:rsid w:val="00F779DD"/>
    <w:rsid w:val="00F91746"/>
    <w:rsid w:val="00F91E84"/>
    <w:rsid w:val="00F95EC3"/>
    <w:rsid w:val="00FC2135"/>
    <w:rsid w:val="00FC3F8D"/>
    <w:rsid w:val="00FD6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B29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95EC3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E67"/>
  </w:style>
  <w:style w:type="paragraph" w:styleId="Stopka">
    <w:name w:val="footer"/>
    <w:basedOn w:val="Normalny"/>
    <w:link w:val="StopkaZnak"/>
    <w:uiPriority w:val="99"/>
    <w:unhideWhenUsed/>
    <w:rsid w:val="0086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E67"/>
  </w:style>
  <w:style w:type="table" w:styleId="Tabela-Siatka">
    <w:name w:val="Table Grid"/>
    <w:basedOn w:val="Standardowy"/>
    <w:uiPriority w:val="59"/>
    <w:rsid w:val="00961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Numerowanie,Akapit z listą BS,List Paragraph,L1,sw tekst,Akapit z listą5,normalny tekst,lp1,Preambuła,Lista num,HŁ_Bullet1,Bulleted list,Colorful Shading - Accent 31,Light List - Accent 51,Kolorowa lista — akcent 11,Akapit normalny,Obiekt"/>
    <w:basedOn w:val="Normalny"/>
    <w:link w:val="AkapitzlistZnak"/>
    <w:uiPriority w:val="34"/>
    <w:qFormat/>
    <w:rsid w:val="00261D1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00C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C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C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C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CE8"/>
    <w:rPr>
      <w:b/>
      <w:bCs/>
      <w:sz w:val="20"/>
      <w:szCs w:val="20"/>
    </w:r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lp1 Znak,Preambuła Znak,Lista num Znak,HŁ_Bullet1 Znak,Bulleted list Znak,Colorful Shading - Accent 31 Znak"/>
    <w:link w:val="Akapitzlist"/>
    <w:uiPriority w:val="34"/>
    <w:qFormat/>
    <w:locked/>
    <w:rsid w:val="00825B87"/>
  </w:style>
  <w:style w:type="paragraph" w:styleId="Poprawka">
    <w:name w:val="Revision"/>
    <w:hidden/>
    <w:uiPriority w:val="99"/>
    <w:semiHidden/>
    <w:rsid w:val="00825B87"/>
    <w:pPr>
      <w:spacing w:after="0" w:line="240" w:lineRule="auto"/>
    </w:pPr>
  </w:style>
  <w:style w:type="paragraph" w:customStyle="1" w:styleId="Akapitzlist1">
    <w:name w:val="Akapit z listą1"/>
    <w:basedOn w:val="Normalny"/>
    <w:rsid w:val="003222F9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F95EC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1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901AC-3529-4ECD-970D-E938A5D61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45</Pages>
  <Words>7556</Words>
  <Characters>45341</Characters>
  <Application>Microsoft Office Word</Application>
  <DocSecurity>0</DocSecurity>
  <Lines>377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Słobodzian Róża</dc:creator>
  <cp:lastModifiedBy>Wiktor Niepołoński</cp:lastModifiedBy>
  <cp:revision>3</cp:revision>
  <dcterms:created xsi:type="dcterms:W3CDTF">2023-06-09T06:49:00Z</dcterms:created>
  <dcterms:modified xsi:type="dcterms:W3CDTF">2023-06-09T06:51:00Z</dcterms:modified>
</cp:coreProperties>
</file>